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6232BFF" w14:textId="3E805C16" w:rsidR="00E32749" w:rsidRPr="00666AB9" w:rsidRDefault="00ED1167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D1167">
        <w:rPr>
          <w:rFonts w:ascii="Verdana" w:hAnsi="Verdana" w:cs="Arial"/>
          <w:sz w:val="20"/>
          <w:szCs w:val="20"/>
        </w:rPr>
        <w:t>Establecer las actividades de la Gestión de Cambios de forma planificada y controlada con el fin de mitigar los efectos en la funcionalidad de los servicios de TI, a través de la identificación de los requerimientos de las ventanas de cambio y evaluación del impacto de la implementación en la infraestructura de TI y Servicios de TI.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05E3E3" w14:textId="060D0AF6" w:rsidR="00EA0826" w:rsidRDefault="00ED1167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D1167">
        <w:rPr>
          <w:rFonts w:ascii="Verdana" w:hAnsi="Verdana" w:cs="Arial"/>
          <w:bCs/>
          <w:sz w:val="20"/>
          <w:szCs w:val="20"/>
        </w:rPr>
        <w:t xml:space="preserve">La Gestión de Cambios aplica para todos los procesos y servicios de TI sobre los cuales se realicen procesos de actualización o modificación o como resultado de la instalación de nuevos servicios. Inicia con la Identificación de las actividades del cambio y su viabilidad, continua con las pruebas e implementación del cambio y finaliza con el cierre de la Gestión de Cambio.  </w:t>
      </w:r>
    </w:p>
    <w:p w14:paraId="30D0DBC0" w14:textId="77777777" w:rsidR="00ED1167" w:rsidRPr="00666AB9" w:rsidRDefault="00ED1167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48B3B551" w14:textId="77777777" w:rsidR="00E9296C" w:rsidRDefault="00E9296C" w:rsidP="00E9296C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44EEC71" w14:textId="545B4768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AMBIENTE NO PRODUCTIVO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ED1167">
        <w:rPr>
          <w:rFonts w:ascii="Verdana" w:hAnsi="Verdana" w:cs="Arial"/>
          <w:bCs/>
          <w:sz w:val="20"/>
          <w:szCs w:val="20"/>
        </w:rPr>
        <w:t xml:space="preserve">Un ambiente no productivo hace referencia a un entorno de pruebas que tiene como propósito realizar pruebas o validar la funcionalidad de un sistema de información o desarrollo de software o la configuración de hardware (servidores, </w:t>
      </w:r>
      <w:proofErr w:type="spellStart"/>
      <w:r w:rsidRPr="00ED1167">
        <w:rPr>
          <w:rFonts w:ascii="Verdana" w:hAnsi="Verdana" w:cs="Arial"/>
          <w:bCs/>
          <w:sz w:val="20"/>
          <w:szCs w:val="20"/>
        </w:rPr>
        <w:t>routers</w:t>
      </w:r>
      <w:proofErr w:type="spellEnd"/>
      <w:r w:rsidRPr="00ED1167">
        <w:rPr>
          <w:rFonts w:ascii="Verdana" w:hAnsi="Verdana" w:cs="Arial"/>
          <w:bCs/>
          <w:sz w:val="20"/>
          <w:szCs w:val="20"/>
        </w:rPr>
        <w:t>, switches, etc.) y software específico (software de monitoreo de red, antivirus, etc.)</w:t>
      </w:r>
    </w:p>
    <w:p w14:paraId="02D163A0" w14:textId="39E43F00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CAMBIO NORMAL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Pr="00ED1167">
        <w:rPr>
          <w:rFonts w:ascii="Verdana" w:hAnsi="Verdana" w:cs="Arial"/>
          <w:bCs/>
          <w:sz w:val="20"/>
          <w:szCs w:val="20"/>
        </w:rPr>
        <w:t>Es un cambio que no es ni de emergencia ni tampoco es estándar. Los cambios normales siguen los pasos definidos en el proceso de gestión del cambio.</w:t>
      </w:r>
    </w:p>
    <w:p w14:paraId="35E7A9EC" w14:textId="4B304313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CAMBIO ESTÁNDAR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Los cambios estándar tienen un riesgo relativamente bajo y se comprenden perfectamente. Los cambios estándar son los que procesan con frecuencia como, por ejemplo, instalar una aplicación o implementar una base de datos, middleware o la modificación de un servidor. Estos cambios no tienen impactos de gran alcance en los AC - Centros de Aseguramiento importantes para el negocio y se procesan tan a menudo que no es necesario evaluarlos, planificarlos o aprobarlos.</w:t>
      </w:r>
    </w:p>
    <w:p w14:paraId="136E9071" w14:textId="3441113A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CAMBIO DE EMERGENCIA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Cambio que sigue un camino rápido, siguiendo el procedimiento normal de autorización de manera que se puede ejecutar rápidamente. Este procedimiento se aplica a cambios que requieren ejecutarse muy rápidamente porque la seguridad o la productividad de la empresa están seriamente amenazadas.</w:t>
      </w:r>
    </w:p>
    <w:p w14:paraId="13A7F108" w14:textId="5F90B59E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CIERRE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Es el acto de cambiar a cerrado el estado de un incidente, problema, cambio, etc.</w:t>
      </w:r>
    </w:p>
    <w:p w14:paraId="2CD6794E" w14:textId="2085A521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COMPONENTE DE TI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Hace referencia a cualquier elemento de TI (software, hardware o componente de información) del Ministerio de Comercio, Industria y Turismo, lo mismo que a sus procesos, capacidades y servicios.</w:t>
      </w:r>
    </w:p>
    <w:p w14:paraId="3AF85E0F" w14:textId="32FA8E14" w:rsidR="00ED1167" w:rsidRPr="00DF4A68" w:rsidRDefault="00ED1167" w:rsidP="00ED116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GESTIÓN DE CAMBIO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Es el proceso responsable de controlar el ciclo de vida de todos los cambios, permitiendo que se realicen cambios que son beneficiosos, minimizando la interrupción de servicios de TI.</w:t>
      </w:r>
    </w:p>
    <w:p w14:paraId="653D2C2E" w14:textId="480A3D2C" w:rsidR="00ED1167" w:rsidRPr="00DF4A68" w:rsidRDefault="00ED1167" w:rsidP="00ED116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HARDWARE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Se define como el conjunto de los componentes que integran la parte material del Computador. Sin embargo, el término se refiere además a los dispositivos físicos conectados al computador mediante los cuales el usuario desarrolla de sus actividades y tareas.</w:t>
      </w:r>
    </w:p>
    <w:p w14:paraId="76D4CC88" w14:textId="7CB23D17" w:rsidR="00ED1167" w:rsidRPr="00DF4A68" w:rsidRDefault="00ED1167" w:rsidP="00ED116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IMPACTO</w:t>
      </w:r>
    </w:p>
    <w:p w14:paraId="5CB765DB" w14:textId="1BBEF41E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RFC (REQUEST FOR CHANGE)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Es una propuesta formal para hacer un cambio. Incluye los detalles del cambio propuesto, y puede ser registrado en papel o electrónicamente. A menudo, el término es mal utilizado para referirse a un registro de cambio, o al propio cambio.</w:t>
      </w:r>
    </w:p>
    <w:p w14:paraId="02CB647E" w14:textId="692A82CE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SERVICIO TECNOLÓGICO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Es un caso particular de un servicio de TI que consiste en una facilidad directamente derivada de los recursos de la plataforma tecnológica (hardware y software) de del Ministerio de Comercio, Industria y Turismo. En este tipo de servicios los Acuerdos de Nivel de Servicio son críticos para garantizar algunos atributos de calidad como disponibilidad, seguridad, confiabilidad, etc.</w:t>
      </w:r>
    </w:p>
    <w:p w14:paraId="4FDAF8C2" w14:textId="3299772B" w:rsidR="00ED1167" w:rsidRPr="00ED1167" w:rsidRDefault="00ED1167" w:rsidP="00ED116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lastRenderedPageBreak/>
        <w:t>SOFTWARE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Software se refiere al conjunto de programas, instrucciones y reglas informáticas para ejecutar ciertas tareas en un computador.</w:t>
      </w:r>
    </w:p>
    <w:p w14:paraId="26687A72" w14:textId="18F3A461" w:rsidR="003033FD" w:rsidRPr="00DF4A68" w:rsidRDefault="00ED1167" w:rsidP="00ED116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D1167">
        <w:rPr>
          <w:rFonts w:ascii="Verdana" w:hAnsi="Verdana" w:cs="Arial"/>
          <w:b/>
          <w:sz w:val="20"/>
          <w:szCs w:val="20"/>
        </w:rPr>
        <w:t>VENTANA DE CAMBIO</w:t>
      </w:r>
      <w:r w:rsidR="00DF4A68">
        <w:rPr>
          <w:rFonts w:ascii="Verdana" w:hAnsi="Verdana" w:cs="Arial"/>
          <w:b/>
          <w:sz w:val="20"/>
          <w:szCs w:val="20"/>
        </w:rPr>
        <w:t xml:space="preserve">: </w:t>
      </w:r>
      <w:r w:rsidR="00DF4A68" w:rsidRPr="00DF4A68">
        <w:rPr>
          <w:rFonts w:ascii="Verdana" w:hAnsi="Verdana" w:cs="Arial"/>
          <w:bCs/>
          <w:sz w:val="20"/>
          <w:szCs w:val="20"/>
        </w:rPr>
        <w:t>Es un espacio de tiempo regular acordado durante el cual pueden implementarse cambios o liberaciones con un mínimo de impacto en los servicios. Las ventanas de cambios suelen estar documentadas en los acuerdos de niveles de servicio.</w:t>
      </w:r>
    </w:p>
    <w:p w14:paraId="150012C2" w14:textId="77777777" w:rsidR="00E32749" w:rsidRPr="00666AB9" w:rsidRDefault="00E3274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3C6CFA89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F31AE4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4.1. Gestión de Cambios de Tecnologías de Información</w:t>
      </w:r>
    </w:p>
    <w:p w14:paraId="385BA19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E5365B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Los cambios solicitados, responden a requerimientos funcionales, mantenimiento o soporte de los servicios de TI. Dependiendo el tipo de cambio y su impacto, será objeto de evaluación por el CAB o ECAB. Las decisiones sobre el cambio deben ser avaladas por el Jefe de Oficina de Sistemas de información.</w:t>
      </w:r>
    </w:p>
    <w:p w14:paraId="5070FB7C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96CA92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Comité Asesor de Cambios (CAB-Change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Advisory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Board)</w:t>
      </w:r>
    </w:p>
    <w:p w14:paraId="78A10BBC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54C26B4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Su función evaluar, priorizar, autorizar y programar los cambios a la infraestructura TI.</w:t>
      </w:r>
    </w:p>
    <w:p w14:paraId="6575A786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DA89B3D" w14:textId="5C0CA2DB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El CAB está conformado por:</w:t>
      </w:r>
    </w:p>
    <w:p w14:paraId="7858720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41ACADB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Jefe de Oficina de Sistemas de información</w:t>
      </w:r>
    </w:p>
    <w:p w14:paraId="42E537C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Coordinador Grupo de Ingeniería y Soporte técnico</w:t>
      </w:r>
    </w:p>
    <w:p w14:paraId="6E9ACA9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Coordinador Grupo de Desarrollo y Mantenimiento de Aplicaciones</w:t>
      </w:r>
    </w:p>
    <w:p w14:paraId="435B5DF2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Profesional TI (Responsable de la administración del aplicativo o sistema de información o componente de TI)</w:t>
      </w:r>
    </w:p>
    <w:p w14:paraId="232FEB4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060C408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Comité Asesor de Cambios de Emergencias (ECAB -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Emergency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Change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Advisory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Board)</w:t>
      </w:r>
    </w:p>
    <w:p w14:paraId="1B4D08D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5595189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Su función decidir sobre los cambios de emergencia a la infraestructura de TI cuyo impacto es significativo.</w:t>
      </w:r>
    </w:p>
    <w:p w14:paraId="7E99E1C9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077E74F" w14:textId="3A5DE2EF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El ECAB está conformado por:</w:t>
      </w:r>
    </w:p>
    <w:p w14:paraId="42F1B55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C5A264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Jefe de Oficina de Sistemas de información</w:t>
      </w:r>
    </w:p>
    <w:p w14:paraId="31F3B87C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Coordinador Grupo de Ingeniería y Soporte técnico</w:t>
      </w:r>
    </w:p>
    <w:p w14:paraId="6DF944E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Coordinador Grupo de Desarrollo y Mantenimiento de Aplicaciones</w:t>
      </w:r>
    </w:p>
    <w:p w14:paraId="0ED6878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Profesional TI (Responsable de la administración del aplicativo o sistema de información o componente de TI)</w:t>
      </w:r>
    </w:p>
    <w:p w14:paraId="57190AF2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Proveedor o Contratista que da soporte sobre la aplicación o componente de TI, cuando aplique.</w:t>
      </w:r>
    </w:p>
    <w:p w14:paraId="76C5D0C2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Responsable del Proceso (propietario del aplicativo o sistema de información), cuando se requiera.</w:t>
      </w:r>
    </w:p>
    <w:p w14:paraId="1DE6A36E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4187DA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4.2. Normograma Proceso de Gestión de Información y Comunicación.</w:t>
      </w:r>
    </w:p>
    <w:p w14:paraId="2A99C045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771E4E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Normas consideradas en la ejecución del procedimiento:</w:t>
      </w:r>
    </w:p>
    <w:p w14:paraId="1767DAA6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63BCC87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Resolución 387 de 2012. Modifica la Resolución No. 3892 de 2011.</w:t>
      </w:r>
    </w:p>
    <w:p w14:paraId="3F220FB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Resolución 3892 de 2011. Modifica la Resolución No. 990 de 2008.</w:t>
      </w:r>
    </w:p>
    <w:p w14:paraId="18C0B91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Cs/>
          <w:sz w:val="20"/>
          <w:szCs w:val="20"/>
        </w:rPr>
        <w:t>Resolución 990 de 2008. Reglamenta el Manejo, Uso y Registro de los elementos informáticos del Ministerio.</w:t>
      </w:r>
    </w:p>
    <w:p w14:paraId="34888AC2" w14:textId="77777777" w:rsid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proofErr w:type="spellStart"/>
      <w:r w:rsidRPr="00DF4A68">
        <w:rPr>
          <w:rFonts w:ascii="Verdana" w:hAnsi="Verdana" w:cs="Arial"/>
          <w:bCs/>
          <w:sz w:val="20"/>
          <w:szCs w:val="20"/>
        </w:rPr>
        <w:t>Conpes</w:t>
      </w:r>
      <w:proofErr w:type="spellEnd"/>
      <w:r w:rsidRPr="00DF4A68">
        <w:rPr>
          <w:rFonts w:ascii="Verdana" w:hAnsi="Verdana" w:cs="Arial"/>
          <w:bCs/>
          <w:sz w:val="20"/>
          <w:szCs w:val="20"/>
        </w:rPr>
        <w:t xml:space="preserve"> 3854 del 11 de abril de 2016, Política Nacional de Seguridad Digital.</w:t>
      </w:r>
    </w:p>
    <w:p w14:paraId="74D4941E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53FF63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1D474BE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lastRenderedPageBreak/>
        <w:t>4.3. Roles y Responsabilidades</w:t>
      </w:r>
    </w:p>
    <w:p w14:paraId="3E8F66AE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E62E9E5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R -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Responsible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- Encargado</w:t>
      </w:r>
    </w:p>
    <w:p w14:paraId="53B3B102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1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 - Profesional</w:t>
      </w:r>
    </w:p>
    <w:p w14:paraId="2F9A8A1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2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</w:t>
      </w:r>
    </w:p>
    <w:p w14:paraId="56B18C6B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3</w:t>
      </w:r>
      <w:r w:rsidRPr="00DF4A68">
        <w:rPr>
          <w:rFonts w:ascii="Verdana" w:hAnsi="Verdana" w:cs="Arial"/>
          <w:bCs/>
          <w:sz w:val="20"/>
          <w:szCs w:val="20"/>
        </w:rPr>
        <w:t xml:space="preserve"> Profesional Especializado - Personal Tercerizado (Desarrollo y Mantenimiento de Desarrollo de Aplicativos) - Personal Tercerizado (SOC/NOC) - Personal Tercerizado (Proveedor de servicios)</w:t>
      </w:r>
    </w:p>
    <w:p w14:paraId="7464D7C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4</w:t>
      </w:r>
      <w:r w:rsidRPr="00DF4A68">
        <w:rPr>
          <w:rFonts w:ascii="Verdana" w:hAnsi="Verdana" w:cs="Arial"/>
          <w:bCs/>
          <w:sz w:val="20"/>
          <w:szCs w:val="20"/>
        </w:rPr>
        <w:t xml:space="preserve"> Profesional Especializado - Personal Tercerizado (Desarrollo y Mantenimiento de Desarrollo de Aplicativos) - Personal Tercerizado (SOC/NOC) - Personal Tercerizado (Proveedor de servicios)</w:t>
      </w:r>
    </w:p>
    <w:p w14:paraId="5BB81277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5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</w:t>
      </w:r>
    </w:p>
    <w:p w14:paraId="3FA93938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6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</w:t>
      </w:r>
    </w:p>
    <w:p w14:paraId="5A04F8F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BCF79CB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A -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Accountable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- Responsable: Toma de Decisiones - Rinde Cuentas</w:t>
      </w:r>
    </w:p>
    <w:p w14:paraId="3180095C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1</w:t>
      </w:r>
      <w:r w:rsidRPr="00DF4A68">
        <w:rPr>
          <w:rFonts w:ascii="Verdana" w:hAnsi="Verdana" w:cs="Arial"/>
          <w:bCs/>
          <w:sz w:val="20"/>
          <w:szCs w:val="20"/>
        </w:rPr>
        <w:t xml:space="preserve"> No Aplica</w:t>
      </w:r>
    </w:p>
    <w:p w14:paraId="17F3D322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2</w:t>
      </w:r>
      <w:r w:rsidRPr="00DF4A68">
        <w:rPr>
          <w:rFonts w:ascii="Verdana" w:hAnsi="Verdana" w:cs="Arial"/>
          <w:bCs/>
          <w:sz w:val="20"/>
          <w:szCs w:val="20"/>
        </w:rPr>
        <w:t xml:space="preserve"> Jefe de la Oficina de Sistemas de Información - Grupo de Ingeniería y Soporte Técnico - Coordinador del Grupo de Desarrollo y Mantenimiento de Aplicaciones</w:t>
      </w:r>
    </w:p>
    <w:p w14:paraId="7FF7887A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3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</w:t>
      </w:r>
    </w:p>
    <w:p w14:paraId="563BBB5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4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</w:t>
      </w:r>
    </w:p>
    <w:p w14:paraId="4C8DC3CE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5</w:t>
      </w:r>
      <w:r w:rsidRPr="00DF4A68">
        <w:rPr>
          <w:rFonts w:ascii="Verdana" w:hAnsi="Verdana" w:cs="Arial"/>
          <w:bCs/>
          <w:sz w:val="20"/>
          <w:szCs w:val="20"/>
        </w:rPr>
        <w:t xml:space="preserve"> Jefe de la Oficina de Sistemas de Información</w:t>
      </w:r>
    </w:p>
    <w:p w14:paraId="759D8435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6</w:t>
      </w:r>
      <w:r w:rsidRPr="00DF4A68">
        <w:rPr>
          <w:rFonts w:ascii="Verdana" w:hAnsi="Verdana" w:cs="Arial"/>
          <w:bCs/>
          <w:sz w:val="20"/>
          <w:szCs w:val="20"/>
        </w:rPr>
        <w:t xml:space="preserve"> Jefe de la Oficina de Sistemas de Información</w:t>
      </w:r>
    </w:p>
    <w:p w14:paraId="36E5E54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C9ACB8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C -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Consulted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- Consultado</w:t>
      </w:r>
    </w:p>
    <w:p w14:paraId="497E22D4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1</w:t>
      </w:r>
      <w:r w:rsidRPr="00DF4A68">
        <w:rPr>
          <w:rFonts w:ascii="Verdana" w:hAnsi="Verdana" w:cs="Arial"/>
          <w:bCs/>
          <w:sz w:val="20"/>
          <w:szCs w:val="20"/>
        </w:rPr>
        <w:t xml:space="preserve"> No Aplica</w:t>
      </w:r>
    </w:p>
    <w:p w14:paraId="070AE86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2</w:t>
      </w:r>
      <w:r w:rsidRPr="00DF4A68">
        <w:rPr>
          <w:rFonts w:ascii="Verdana" w:hAnsi="Verdana" w:cs="Arial"/>
          <w:bCs/>
          <w:sz w:val="20"/>
          <w:szCs w:val="20"/>
        </w:rPr>
        <w:t xml:space="preserve"> Personal Tercerizado (Proveedor Desarrollo y Mantenimiento de Desarrollo de Aplicativos) - Personal Tercerizado (SOC/NOC) - Personal Tercerizado (Proveedor de servicios) - Personal Tercerizado (Desarrollo y Mantenimiento de Desarrollo de Aplicativos)</w:t>
      </w:r>
    </w:p>
    <w:p w14:paraId="488157AF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3</w:t>
      </w:r>
      <w:r w:rsidRPr="00DF4A68">
        <w:rPr>
          <w:rFonts w:ascii="Verdana" w:hAnsi="Verdana" w:cs="Arial"/>
          <w:bCs/>
          <w:sz w:val="20"/>
          <w:szCs w:val="20"/>
        </w:rPr>
        <w:t xml:space="preserve"> Personal Tercerizado (Desarrollo y Mantenimiento de Desarrollo de Aplicativos) - Personal Tercerizado (SOC/NOC) - Personal Tercerizado (Proveedor de servicios)</w:t>
      </w:r>
    </w:p>
    <w:p w14:paraId="250D9FE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4</w:t>
      </w:r>
      <w:r w:rsidRPr="00DF4A68">
        <w:rPr>
          <w:rFonts w:ascii="Verdana" w:hAnsi="Verdana" w:cs="Arial"/>
          <w:bCs/>
          <w:sz w:val="20"/>
          <w:szCs w:val="20"/>
        </w:rPr>
        <w:t xml:space="preserve"> Personal Tercerizado (Desarrollo y Mantenimiento de Desarrollo de Aplicativos) - Personal Tercerizado (SOC/NOC) - Personal Tercerizado (Proveedor de servicios)</w:t>
      </w:r>
    </w:p>
    <w:p w14:paraId="16BB4346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5</w:t>
      </w:r>
      <w:r w:rsidRPr="00DF4A68">
        <w:rPr>
          <w:rFonts w:ascii="Verdana" w:hAnsi="Verdana" w:cs="Arial"/>
          <w:bCs/>
          <w:sz w:val="20"/>
          <w:szCs w:val="20"/>
        </w:rPr>
        <w:t xml:space="preserve"> Personal Tercerizado (Desarrollo y Mantenimiento de Desarrollo de Aplicativos) - Personal Tercerizado (SOC/NOC) - Personal Tercerizado (Proveedor de servicios)</w:t>
      </w:r>
    </w:p>
    <w:p w14:paraId="29108150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6</w:t>
      </w:r>
      <w:r w:rsidRPr="00DF4A68">
        <w:rPr>
          <w:rFonts w:ascii="Verdana" w:hAnsi="Verdana" w:cs="Arial"/>
          <w:bCs/>
          <w:sz w:val="20"/>
          <w:szCs w:val="20"/>
        </w:rPr>
        <w:t xml:space="preserve"> Profesional Especializado - Personal Tercerizado (Desarrollo y Mantenimiento de Desarrollo de Aplicativos) - Personal Tercerizado (SOC/NOC) - Personal Tercerizado (Proveedor de servicios)</w:t>
      </w:r>
    </w:p>
    <w:p w14:paraId="793DAC55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E0923A7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 xml:space="preserve">I - </w:t>
      </w:r>
      <w:proofErr w:type="spellStart"/>
      <w:r w:rsidRPr="00DF4A68">
        <w:rPr>
          <w:rFonts w:ascii="Verdana" w:hAnsi="Verdana" w:cs="Arial"/>
          <w:b/>
          <w:sz w:val="20"/>
          <w:szCs w:val="20"/>
        </w:rPr>
        <w:t>Informed</w:t>
      </w:r>
      <w:proofErr w:type="spellEnd"/>
      <w:r w:rsidRPr="00DF4A68">
        <w:rPr>
          <w:rFonts w:ascii="Verdana" w:hAnsi="Verdana" w:cs="Arial"/>
          <w:b/>
          <w:sz w:val="20"/>
          <w:szCs w:val="20"/>
        </w:rPr>
        <w:t xml:space="preserve"> - Informado</w:t>
      </w:r>
    </w:p>
    <w:p w14:paraId="4FA9915D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1</w:t>
      </w:r>
      <w:r w:rsidRPr="00DF4A68">
        <w:rPr>
          <w:rFonts w:ascii="Verdana" w:hAnsi="Verdana" w:cs="Arial"/>
          <w:bCs/>
          <w:sz w:val="20"/>
          <w:szCs w:val="20"/>
        </w:rPr>
        <w:t xml:space="preserve"> No Aplica</w:t>
      </w:r>
    </w:p>
    <w:p w14:paraId="373A7281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2</w:t>
      </w:r>
      <w:r w:rsidRPr="00DF4A68">
        <w:rPr>
          <w:rFonts w:ascii="Verdana" w:hAnsi="Verdana" w:cs="Arial"/>
          <w:bCs/>
          <w:sz w:val="20"/>
          <w:szCs w:val="20"/>
        </w:rPr>
        <w:t xml:space="preserve"> Responsable del Área Funcional</w:t>
      </w:r>
    </w:p>
    <w:p w14:paraId="584790E9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3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 - Responsable del Área Funcional</w:t>
      </w:r>
    </w:p>
    <w:p w14:paraId="4C8F108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4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 - Responsable del Área Funcional</w:t>
      </w:r>
    </w:p>
    <w:p w14:paraId="2779519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Actividad 5</w:t>
      </w:r>
      <w:r w:rsidRPr="00DF4A68">
        <w:rPr>
          <w:rFonts w:ascii="Verdana" w:hAnsi="Verdana" w:cs="Arial"/>
          <w:bCs/>
          <w:sz w:val="20"/>
          <w:szCs w:val="20"/>
        </w:rPr>
        <w:t xml:space="preserve"> Grupo de Ingeniería y Soporte Técnico - Coordinador del Grupo de Desarrollo y Mantenimiento de Aplicaciones - Responsable del Área Funcional</w:t>
      </w:r>
    </w:p>
    <w:p w14:paraId="743B4206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lastRenderedPageBreak/>
        <w:t>Actividad 6</w:t>
      </w:r>
      <w:r w:rsidRPr="00DF4A68">
        <w:rPr>
          <w:rFonts w:ascii="Verdana" w:hAnsi="Verdana" w:cs="Arial"/>
          <w:bCs/>
          <w:sz w:val="20"/>
          <w:szCs w:val="20"/>
        </w:rPr>
        <w:t xml:space="preserve"> Profesional Especializado - Personal Tercerizado (Desarrollo y Mantenimiento de Desarrollo de Aplicativos) - Personal Tercerizado (SOC/NOC) - Personal Tercerizado (Proveedor de servicios)</w:t>
      </w:r>
    </w:p>
    <w:p w14:paraId="2060E747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0955573" w14:textId="77777777" w:rsidR="00DF4A68" w:rsidRP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9D803BE" w14:textId="3BFC01A2" w:rsidR="00DF4A68" w:rsidRDefault="00DF4A68" w:rsidP="00DF4A6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DF4A68">
        <w:rPr>
          <w:rFonts w:ascii="Verdana" w:hAnsi="Verdana" w:cs="Arial"/>
          <w:b/>
          <w:sz w:val="20"/>
          <w:szCs w:val="20"/>
        </w:rPr>
        <w:t>4.4. Control de Riesgos</w:t>
      </w:r>
    </w:p>
    <w:p w14:paraId="69F44391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AD0F10F" w14:textId="77777777" w:rsidR="00E769B8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1CBCAF0F" w14:textId="77777777" w:rsidR="00E769B8" w:rsidRPr="0082647F" w:rsidRDefault="00E769B8" w:rsidP="00E769B8">
      <w:pPr>
        <w:pStyle w:val="Prrafodelista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D94876D" w14:textId="77777777" w:rsidR="00E769B8" w:rsidRPr="0082647F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p w14:paraId="2CB677CD" w14:textId="77777777" w:rsidR="00E9296C" w:rsidRP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00940853" w14:textId="77777777" w:rsidR="00583B63" w:rsidRDefault="00583B63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6275E9DC" w14:textId="6B116C97" w:rsidR="00583B63" w:rsidRPr="00666AB9" w:rsidRDefault="00583B63" w:rsidP="00583B63">
      <w:pPr>
        <w:spacing w:after="0" w:line="240" w:lineRule="auto"/>
        <w:ind w:firstLine="708"/>
        <w:jc w:val="center"/>
        <w:rPr>
          <w:rFonts w:ascii="Verdana" w:eastAsia="Arial" w:hAnsi="Verdana" w:cs="Arial"/>
          <w:bCs/>
          <w:color w:val="00B050"/>
          <w:sz w:val="16"/>
          <w:szCs w:val="16"/>
        </w:rPr>
      </w:pPr>
      <w:r>
        <w:rPr>
          <w:noProof/>
        </w:rPr>
        <w:drawing>
          <wp:inline distT="0" distB="0" distL="0" distR="0" wp14:anchorId="5ED02DEE" wp14:editId="40435DA6">
            <wp:extent cx="1677401" cy="5238750"/>
            <wp:effectExtent l="0" t="0" r="0" b="0"/>
            <wp:docPr id="1949553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890" cy="524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75CD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lastRenderedPageBreak/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77BF8195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37"/>
        <w:gridCol w:w="2042"/>
        <w:gridCol w:w="5104"/>
        <w:gridCol w:w="1417"/>
      </w:tblGrid>
      <w:tr w:rsidR="00DA19DE" w:rsidRPr="00666AB9" w14:paraId="127FA709" w14:textId="77777777" w:rsidTr="5C560130">
        <w:trPr>
          <w:trHeight w:val="17"/>
          <w:tblHeader/>
        </w:trPr>
        <w:tc>
          <w:tcPr>
            <w:tcW w:w="5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63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42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666AB9" w14:paraId="63F6096D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59515F8F" w:rsidR="00DA19DE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708CEA8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A00EDC9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85E0A4E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132382A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E07E1CB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55E401B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6E1DB2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5196BCA" w14:textId="77777777" w:rsidR="00DF4A68" w:rsidRDefault="00DF4A68" w:rsidP="00A03E6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654102A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0F8BE6C" w14:textId="5B48E3B2" w:rsidR="00DA19DE" w:rsidRP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DF4A68">
              <w:rPr>
                <w:rFonts w:ascii="Verdana" w:hAnsi="Verdana" w:cs="Arial"/>
                <w:bCs/>
                <w:sz w:val="16"/>
                <w:szCs w:val="16"/>
              </w:rPr>
              <w:t>(P) Identificar las actividades para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1E234BA9" w:rsidR="00DA19DE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Profesional Especializado, Coordinador Grupo Desarrollo y Mantenimiento de Aplicaciones., Coordinador Grupo Ingeniería y Soporte Técnico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02E62E1" w14:textId="77777777" w:rsidR="00DA19DE" w:rsidRPr="00666AB9" w:rsidRDefault="00DA19DE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0C86D85" w14:textId="6CF81D01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Documentar</w:t>
            </w:r>
            <w:r w:rsidRPr="00DF4A68">
              <w:rPr>
                <w:rFonts w:ascii="Verdana" w:hAnsi="Verdana" w:cs="Arial"/>
                <w:sz w:val="16"/>
                <w:szCs w:val="16"/>
              </w:rPr>
              <w:t xml:space="preserve"> el cambio requerido e identifica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DF4A68">
              <w:rPr>
                <w:rFonts w:ascii="Verdana" w:hAnsi="Verdana" w:cs="Arial"/>
                <w:sz w:val="16"/>
                <w:szCs w:val="16"/>
              </w:rPr>
              <w:t xml:space="preserve"> entre otros </w:t>
            </w:r>
            <w:r w:rsidR="00A03E66" w:rsidRPr="00DF4A68">
              <w:rPr>
                <w:rFonts w:ascii="Verdana" w:hAnsi="Verdana" w:cs="Arial"/>
                <w:sz w:val="16"/>
                <w:szCs w:val="16"/>
              </w:rPr>
              <w:t>aspectos:</w:t>
            </w:r>
          </w:p>
          <w:p w14:paraId="241E3480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5D0DA49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Tipo de cambio</w:t>
            </w:r>
          </w:p>
          <w:p w14:paraId="2852E1F3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Justificación del cambio</w:t>
            </w:r>
          </w:p>
          <w:p w14:paraId="0EB2E4B9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Requerimientos del cambio (Ver Procedimiento IC-PR-030 Gestión de la Capacidad de TI</w:t>
            </w:r>
          </w:p>
          <w:p w14:paraId="7FFD3E95" w14:textId="2BB0ADEB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 xml:space="preserve">Impacto sobre </w:t>
            </w:r>
            <w:r w:rsidR="00A03E66" w:rsidRPr="00DF4A68">
              <w:rPr>
                <w:rFonts w:ascii="Verdana" w:hAnsi="Verdana" w:cs="Arial"/>
                <w:sz w:val="16"/>
                <w:szCs w:val="16"/>
              </w:rPr>
              <w:t>los servicios</w:t>
            </w:r>
            <w:r w:rsidRPr="00DF4A68">
              <w:rPr>
                <w:rFonts w:ascii="Verdana" w:hAnsi="Verdana" w:cs="Arial"/>
                <w:sz w:val="16"/>
                <w:szCs w:val="16"/>
              </w:rPr>
              <w:t xml:space="preserve"> de TI asociados o usuarios</w:t>
            </w:r>
          </w:p>
          <w:p w14:paraId="3156CEDE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Apoyo del área técnica y de infraestructura de TI</w:t>
            </w:r>
          </w:p>
          <w:p w14:paraId="6A4AF47C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Plan de actividades, de pruebas y de recuperación (si se requieren).</w:t>
            </w:r>
          </w:p>
          <w:p w14:paraId="58923115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Responsables de actividades</w:t>
            </w:r>
          </w:p>
          <w:p w14:paraId="7B71CC04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Áreas funcionales que deben estar informadas del cambio</w:t>
            </w:r>
          </w:p>
          <w:p w14:paraId="57ACAA0A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Documentación: manuales, instructivos, guías, etc.</w:t>
            </w:r>
          </w:p>
          <w:p w14:paraId="160433C0" w14:textId="77777777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63010C9" w14:textId="3A4218BA" w:rsidR="00DF4A68" w:rsidRPr="00DF4A68" w:rsidRDefault="00DF4A68" w:rsidP="00DF4A68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En la Herramienta Mesa de Ayuda se registra la solicitud de Gestión de Cambio.</w:t>
            </w:r>
          </w:p>
          <w:p w14:paraId="506870B3" w14:textId="77777777" w:rsidR="00DF4A68" w:rsidRDefault="00DF4A68" w:rsidP="00DF4A68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20445FF" w14:textId="7C3411E2" w:rsidR="00DA19DE" w:rsidRPr="00666AB9" w:rsidRDefault="00DA19DE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E34995"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D14010" w:rsidRPr="001F4550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BB9ED2" w14:textId="37D95AF3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TE-FM-01</w:t>
            </w:r>
            <w:r w:rsidR="00376144">
              <w:rPr>
                <w:rFonts w:ascii="Verdana" w:hAnsi="Verdana" w:cs="Arial"/>
                <w:sz w:val="16"/>
                <w:szCs w:val="16"/>
              </w:rPr>
              <w:t>3</w:t>
            </w:r>
          </w:p>
          <w:p w14:paraId="62C89D9A" w14:textId="028FCE33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C560130">
              <w:rPr>
                <w:rFonts w:ascii="Verdana" w:hAnsi="Verdana" w:cs="Arial"/>
                <w:sz w:val="16"/>
                <w:szCs w:val="16"/>
              </w:rPr>
              <w:t xml:space="preserve">Gestión de Cambios </w:t>
            </w:r>
          </w:p>
          <w:p w14:paraId="18FE0442" w14:textId="438801B0" w:rsidR="00DA19DE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3714">
              <w:rPr>
                <w:rFonts w:ascii="Verdana" w:hAnsi="Verdana" w:cs="Arial"/>
                <w:sz w:val="16"/>
                <w:szCs w:val="16"/>
              </w:rPr>
              <w:t>Caso Herramienta Mesa de Ayuda</w:t>
            </w:r>
          </w:p>
        </w:tc>
      </w:tr>
      <w:tr w:rsidR="00DF4A68" w:rsidRPr="00666AB9" w14:paraId="4F5955AF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32B68E5" w14:textId="21CBD9ED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E8052C8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0139D9B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E0ADCC5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59003CB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487EAFA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B342F36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2BE3C25" w14:textId="77777777" w:rsidR="00A03E66" w:rsidRDefault="00A03E6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363F07B" w14:textId="4C040EF2" w:rsidR="00DF4A68" w:rsidRPr="00A03E66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A03E66">
              <w:rPr>
                <w:rFonts w:ascii="Verdana" w:hAnsi="Verdana" w:cs="Arial"/>
                <w:bCs/>
                <w:sz w:val="16"/>
                <w:szCs w:val="16"/>
              </w:rPr>
              <w:t>(P) Evaluar el impacto del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0D8FF9" w14:textId="713BD7AE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F4A68">
              <w:rPr>
                <w:rFonts w:ascii="Verdana" w:hAnsi="Verdana" w:cs="Arial"/>
                <w:sz w:val="16"/>
                <w:szCs w:val="16"/>
              </w:rPr>
              <w:t>Coordinador Grupo Ingeniería y Soporte Técnico, Coordinador Grupo Desarrollo y Mantenimiento de Aplicaciones.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D3CA410" w14:textId="0E7AE61F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Evaluar el impacto del cambio</w:t>
            </w:r>
            <w:r w:rsidRPr="00A03E6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teniendo en cuenta </w:t>
            </w:r>
            <w:r w:rsidRPr="00A03E66">
              <w:rPr>
                <w:rFonts w:ascii="Verdana" w:hAnsi="Verdana" w:cs="Arial"/>
                <w:sz w:val="16"/>
                <w:szCs w:val="16"/>
              </w:rPr>
              <w:t>sí el cambio a implementar es:</w:t>
            </w:r>
          </w:p>
          <w:p w14:paraId="4A6EE2A3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83BE84F" w14:textId="620ACAB9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Cambio Normal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A03E66">
              <w:rPr>
                <w:rFonts w:ascii="Verdana" w:hAnsi="Verdana" w:cs="Arial"/>
                <w:sz w:val="16"/>
                <w:szCs w:val="16"/>
              </w:rPr>
              <w:t>Se procede a implementar el cambio en Ambiente de Producción. Ir a la Actividad No. 4.</w:t>
            </w:r>
          </w:p>
          <w:p w14:paraId="1D4BDD1E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D783C15" w14:textId="3D7C6686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Cambio Estándar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A03E66">
              <w:rPr>
                <w:rFonts w:ascii="Verdana" w:hAnsi="Verdana" w:cs="Arial"/>
                <w:sz w:val="16"/>
                <w:szCs w:val="16"/>
              </w:rPr>
              <w:t>El CAB analiza y evalúa el impacto del cambio a realizar.</w:t>
            </w:r>
          </w:p>
          <w:p w14:paraId="68A5EB4F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041354D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Si el cambio es aprobado. Ir a la Actividad No. 3.</w:t>
            </w:r>
          </w:p>
          <w:p w14:paraId="20A6B1A0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5F91B1F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De lo contrario, se debe revisar el RFC y documentarlo con las actividades de pruebas e implementación que definió el CAB. Ir a la Actividad No. 1.</w:t>
            </w:r>
          </w:p>
          <w:p w14:paraId="30923F7E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59A8655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En ambos casos, se documenta el RFC con las actividades de prueba e implementación definidas por el CAB.</w:t>
            </w:r>
          </w:p>
          <w:p w14:paraId="2C7D381A" w14:textId="51244956" w:rsidR="00A03E66" w:rsidRPr="00A03E66" w:rsidRDefault="00A03E66" w:rsidP="00A03E6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Cambio de Emergencia</w:t>
            </w:r>
            <w:r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A03E66">
              <w:rPr>
                <w:rFonts w:ascii="Verdana" w:hAnsi="Verdana" w:cs="Arial"/>
                <w:sz w:val="16"/>
                <w:szCs w:val="16"/>
              </w:rPr>
              <w:t>El ECAB analiza y evalúa el impacto del cambio a realizar y determina las actividades a realizar.</w:t>
            </w:r>
          </w:p>
          <w:p w14:paraId="5ADE0B12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35B9246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Se documenta el RFC con las actividades a implementar.</w:t>
            </w:r>
          </w:p>
          <w:p w14:paraId="3B074E03" w14:textId="77777777" w:rsidR="00A03E66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43CC4CF" w14:textId="2248A6FA" w:rsidR="00DF4A68" w:rsidRPr="00A03E66" w:rsidRDefault="00A03E66" w:rsidP="00A03E6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03E66">
              <w:rPr>
                <w:rFonts w:ascii="Verdana" w:hAnsi="Verdana" w:cs="Arial"/>
                <w:sz w:val="16"/>
                <w:szCs w:val="16"/>
              </w:rPr>
              <w:t>Se comunica a todos los interesados para coordinar su ejecución. Ir a la Actividad No. 1.</w:t>
            </w:r>
          </w:p>
          <w:p w14:paraId="05690783" w14:textId="77777777" w:rsidR="00DF4A68" w:rsidRPr="00A03E66" w:rsidRDefault="00DF4A68" w:rsidP="00A03E6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14AA2D1" w14:textId="61623F2D" w:rsidR="00DF4A68" w:rsidRPr="001F4550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99079D"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9079D" w:rsidRPr="001F4550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  <w:p w14:paraId="30E2835F" w14:textId="77777777" w:rsidR="00A03E66" w:rsidRPr="00A03E66" w:rsidRDefault="00A03E66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EE0000"/>
                <w:sz w:val="16"/>
                <w:szCs w:val="16"/>
              </w:rPr>
            </w:pPr>
          </w:p>
          <w:p w14:paraId="0F5935E0" w14:textId="08BD27A6" w:rsidR="00A03E66" w:rsidRPr="00652021" w:rsidRDefault="00A03E66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59CAA7FB">
              <w:rPr>
                <w:rFonts w:ascii="Verdana" w:hAnsi="Verdana" w:cs="Arial"/>
                <w:b/>
                <w:bCs/>
                <w:sz w:val="16"/>
                <w:szCs w:val="16"/>
              </w:rPr>
              <w:t>Control RC-12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3D89CF6" w14:textId="58BA6137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TE-FM-0</w:t>
            </w:r>
            <w:r w:rsidR="00376144">
              <w:rPr>
                <w:rFonts w:ascii="Verdana" w:hAnsi="Verdana" w:cs="Arial"/>
                <w:sz w:val="16"/>
                <w:szCs w:val="16"/>
              </w:rPr>
              <w:t>13</w:t>
            </w:r>
          </w:p>
          <w:p w14:paraId="580A6E12" w14:textId="1BD79B86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C560130">
              <w:rPr>
                <w:rFonts w:ascii="Verdana" w:hAnsi="Verdana" w:cs="Arial"/>
                <w:sz w:val="16"/>
                <w:szCs w:val="16"/>
              </w:rPr>
              <w:t xml:space="preserve">Gestión de Cambios </w:t>
            </w:r>
          </w:p>
          <w:p w14:paraId="6C7493DC" w14:textId="514F8CC7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F4A68" w:rsidRPr="00666AB9" w14:paraId="200D3316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F04B94" w14:textId="24741EEF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61CE84A" w14:textId="77777777" w:rsidR="00DF4A68" w:rsidRDefault="00DF4A68" w:rsidP="003033FD">
            <w:pPr>
              <w:spacing w:after="0" w:line="240" w:lineRule="auto"/>
              <w:ind w:left="-15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8B51EB6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292C453" w14:textId="77777777" w:rsidR="00652021" w:rsidRDefault="00652021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B5FC209" w14:textId="77777777" w:rsidR="00652021" w:rsidRDefault="00652021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B9038F8" w14:textId="2D95B98B" w:rsidR="00A03E66" w:rsidRPr="00652021" w:rsidRDefault="00652021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652021">
              <w:rPr>
                <w:rFonts w:ascii="Verdana" w:hAnsi="Verdana" w:cs="Arial"/>
                <w:bCs/>
                <w:sz w:val="16"/>
                <w:szCs w:val="16"/>
              </w:rPr>
              <w:t>(V) Validar el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6E65186" w14:textId="50FBE9CB" w:rsidR="00DF4A68" w:rsidRPr="00666AB9" w:rsidRDefault="00652021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52021">
              <w:rPr>
                <w:rFonts w:ascii="Verdana" w:hAnsi="Verdana" w:cs="Arial"/>
                <w:sz w:val="16"/>
                <w:szCs w:val="16"/>
              </w:rPr>
              <w:t>Profesional Especializado, Personal Tercerizado.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A849E77" w14:textId="2CD84FB4" w:rsidR="00DF4A68" w:rsidRPr="00652021" w:rsidRDefault="009F4E36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mplementar las actividades definidas para el cambi</w:t>
            </w:r>
            <w:r w:rsidR="00652021">
              <w:rPr>
                <w:rFonts w:ascii="Verdana" w:hAnsi="Verdana" w:cs="Arial"/>
                <w:sz w:val="16"/>
                <w:szCs w:val="16"/>
              </w:rPr>
              <w:t xml:space="preserve">o 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en el Ambiente No Productivo o de Pruebas</w:t>
            </w:r>
            <w:r w:rsidR="00652021">
              <w:rPr>
                <w:rFonts w:ascii="Verdana" w:hAnsi="Verdana" w:cs="Arial"/>
                <w:sz w:val="16"/>
                <w:szCs w:val="16"/>
              </w:rPr>
              <w:t>. S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i se presenta incidencias o eventos de corrección, se documenta el RFC con los ajustes a realizar y reinician el proceso de pruebas.</w:t>
            </w:r>
            <w:r w:rsidR="006520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Si las pruebas son satisfactorias, se procede a implementar el cambio en el Ambiente Productivo. Ir a la Actividad No. 4.</w:t>
            </w:r>
          </w:p>
          <w:p w14:paraId="7544C809" w14:textId="77777777" w:rsidR="00DF4A68" w:rsidRPr="001F4550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D84AB42" w14:textId="598570D1" w:rsidR="00DF4A68" w:rsidRPr="001F4550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99079D"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9079D" w:rsidRPr="001F4550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  <w:p w14:paraId="367034E7" w14:textId="77777777" w:rsidR="00652021" w:rsidRPr="001F4550" w:rsidRDefault="0065202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CD22379" w14:textId="22968E5F" w:rsidR="00652021" w:rsidRPr="00652021" w:rsidRDefault="0065202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59CAA7FB">
              <w:rPr>
                <w:rFonts w:ascii="Verdana" w:hAnsi="Verdana" w:cs="Arial"/>
                <w:b/>
                <w:bCs/>
                <w:sz w:val="16"/>
                <w:szCs w:val="16"/>
              </w:rPr>
              <w:t>Control GTI-R4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7B3862" w14:textId="0DBD3426" w:rsidR="0099079D" w:rsidRDefault="0099079D" w:rsidP="0099079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TE-FM-01</w:t>
            </w:r>
            <w:r w:rsidR="00376144">
              <w:rPr>
                <w:rFonts w:ascii="Verdana" w:hAnsi="Verdana" w:cs="Arial"/>
                <w:sz w:val="16"/>
                <w:szCs w:val="16"/>
              </w:rPr>
              <w:t>3</w:t>
            </w:r>
          </w:p>
          <w:p w14:paraId="0B88CB8A" w14:textId="3DB36499" w:rsidR="00033714" w:rsidRDefault="00652021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C560130">
              <w:rPr>
                <w:rFonts w:ascii="Verdana" w:hAnsi="Verdana" w:cs="Arial"/>
                <w:sz w:val="16"/>
                <w:szCs w:val="16"/>
              </w:rPr>
              <w:t>Gestión de Cambios</w:t>
            </w:r>
            <w:r w:rsidR="00A86177" w:rsidRPr="5C56013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5C560130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4A7AFBA" w14:textId="58E60634" w:rsidR="00DF4A68" w:rsidRPr="00666AB9" w:rsidRDefault="00652021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3714">
              <w:rPr>
                <w:rFonts w:ascii="Verdana" w:hAnsi="Verdana" w:cs="Arial"/>
                <w:sz w:val="16"/>
                <w:szCs w:val="16"/>
              </w:rPr>
              <w:t xml:space="preserve"> Caso Herramienta Mesa de Ayuda</w:t>
            </w:r>
          </w:p>
        </w:tc>
      </w:tr>
      <w:tr w:rsidR="00DF4A68" w:rsidRPr="00666AB9" w14:paraId="2C84C3DE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85C1A4A" w14:textId="15D37564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10A2FB3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E734BA0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F3E8C10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8B8F2EC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6C7A987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3F81F4B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EB52BCE" w14:textId="77777777" w:rsid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33D8B3E" w14:textId="77777777" w:rsidR="00652021" w:rsidRDefault="00652021" w:rsidP="0065202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0698904" w14:textId="575E2EFD" w:rsidR="00DF4A68" w:rsidRPr="00652021" w:rsidRDefault="00652021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652021">
              <w:rPr>
                <w:rFonts w:ascii="Verdana" w:hAnsi="Verdana" w:cs="Arial"/>
                <w:bCs/>
                <w:sz w:val="16"/>
                <w:szCs w:val="16"/>
              </w:rPr>
              <w:t>(H) Implementar el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D4EB57" w14:textId="77777777" w:rsidR="00652021" w:rsidRDefault="00652021" w:rsidP="006520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Profesional Especializado, Personal Tercerizado.</w:t>
            </w:r>
          </w:p>
          <w:p w14:paraId="6BBA02F1" w14:textId="77777777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2A153F85" w14:textId="715CA39D" w:rsidR="00652021" w:rsidRPr="00652021" w:rsidRDefault="009F4E36" w:rsidP="009F4E36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mplementar el cambio en el</w:t>
            </w:r>
            <w:r w:rsidR="0065202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652021" w:rsidRPr="00652021">
              <w:rPr>
                <w:rFonts w:ascii="Verdana" w:hAnsi="Verdana" w:cs="Arial"/>
                <w:sz w:val="16"/>
                <w:szCs w:val="16"/>
              </w:rPr>
              <w:t>Ambiente Productivo o de Producción.</w:t>
            </w:r>
          </w:p>
          <w:p w14:paraId="0C32AA8F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EC5F03E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2021">
              <w:rPr>
                <w:rFonts w:ascii="Verdana" w:hAnsi="Verdana" w:cs="Arial"/>
                <w:sz w:val="16"/>
                <w:szCs w:val="16"/>
              </w:rPr>
              <w:t>Si la implementación es exitosa, ir a la Actividad No. 5.</w:t>
            </w:r>
          </w:p>
          <w:p w14:paraId="5A9E2827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7F3B1CA" w14:textId="3F76EA08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2021">
              <w:rPr>
                <w:rFonts w:ascii="Verdana" w:hAnsi="Verdana" w:cs="Arial"/>
                <w:sz w:val="16"/>
                <w:szCs w:val="16"/>
              </w:rPr>
              <w:t>Si se presenta incidencias o eventos de corrección, diferentes a las detectados en el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52021">
              <w:rPr>
                <w:rFonts w:ascii="Verdana" w:hAnsi="Verdana" w:cs="Arial"/>
                <w:sz w:val="16"/>
                <w:szCs w:val="16"/>
              </w:rPr>
              <w:t>Ambiente No Productivo, se procede a: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52021">
              <w:rPr>
                <w:rFonts w:ascii="Verdana" w:hAnsi="Verdana" w:cs="Arial"/>
                <w:sz w:val="16"/>
                <w:szCs w:val="16"/>
              </w:rPr>
              <w:t>Ejecutar las actividades de recuperación definidas en el RFC.</w:t>
            </w:r>
          </w:p>
          <w:p w14:paraId="7AF84974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226D463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2021">
              <w:rPr>
                <w:rFonts w:ascii="Verdana" w:hAnsi="Verdana" w:cs="Arial"/>
                <w:sz w:val="16"/>
                <w:szCs w:val="16"/>
              </w:rPr>
              <w:t>Documentar el RFC por el responsable. Ir a la Actividad No. 2.</w:t>
            </w:r>
          </w:p>
          <w:p w14:paraId="46AEAD83" w14:textId="77777777" w:rsidR="00652021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0A7DF50" w14:textId="3643425F" w:rsidR="00DF4A68" w:rsidRPr="00652021" w:rsidRDefault="00652021" w:rsidP="00652021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52021">
              <w:rPr>
                <w:rFonts w:ascii="Verdana" w:hAnsi="Verdana" w:cs="Arial"/>
                <w:sz w:val="16"/>
                <w:szCs w:val="16"/>
              </w:rPr>
              <w:t>Informar a los interesados.</w:t>
            </w:r>
          </w:p>
          <w:p w14:paraId="72D2997C" w14:textId="77777777" w:rsidR="00DF4A68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F85FC5B" w14:textId="658E4590" w:rsidR="00DF4A68" w:rsidRPr="001F4550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99079D"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9079D" w:rsidRPr="001F4550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  <w:p w14:paraId="53E7D508" w14:textId="77777777" w:rsidR="00652021" w:rsidRDefault="0065202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color w:val="EE0000"/>
                <w:sz w:val="16"/>
                <w:szCs w:val="16"/>
              </w:rPr>
            </w:pPr>
          </w:p>
          <w:p w14:paraId="5A0FC300" w14:textId="558F2D02" w:rsidR="00652021" w:rsidRPr="00666AB9" w:rsidRDefault="00652021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59CAA7FB">
              <w:rPr>
                <w:rFonts w:ascii="Verdana" w:hAnsi="Verdana" w:cs="Arial"/>
                <w:b/>
                <w:bCs/>
                <w:sz w:val="16"/>
                <w:szCs w:val="16"/>
              </w:rPr>
              <w:t>Control GTI-R4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9C4C9D" w14:textId="68526BCD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TE-FM-01</w:t>
            </w:r>
            <w:r w:rsidR="00376144">
              <w:rPr>
                <w:rFonts w:ascii="Verdana" w:hAnsi="Verdana" w:cs="Arial"/>
                <w:sz w:val="16"/>
                <w:szCs w:val="16"/>
              </w:rPr>
              <w:t>3</w:t>
            </w:r>
          </w:p>
          <w:p w14:paraId="13340D70" w14:textId="0CE289EB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C560130">
              <w:rPr>
                <w:rFonts w:ascii="Verdana" w:hAnsi="Verdana" w:cs="Arial"/>
                <w:sz w:val="16"/>
                <w:szCs w:val="16"/>
              </w:rPr>
              <w:t xml:space="preserve">Gestión de Cambios </w:t>
            </w:r>
          </w:p>
          <w:p w14:paraId="29B8AAFF" w14:textId="6DF35B31" w:rsidR="00DF4A68" w:rsidRPr="00666AB9" w:rsidRDefault="00652021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3714">
              <w:rPr>
                <w:rFonts w:ascii="Verdana" w:hAnsi="Verdana" w:cs="Arial"/>
                <w:sz w:val="16"/>
                <w:szCs w:val="16"/>
              </w:rPr>
              <w:t xml:space="preserve"> Caso Herramienta Mesa de Ayuda, Correo electrónico</w:t>
            </w:r>
          </w:p>
        </w:tc>
      </w:tr>
      <w:tr w:rsidR="00DF4A68" w:rsidRPr="00666AB9" w14:paraId="46FAF872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5ADD35" w14:textId="6C4B4A80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E48D6A5" w14:textId="77777777" w:rsidR="009F4E36" w:rsidRDefault="009F4E3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5F04955" w14:textId="77777777" w:rsidR="009F4E36" w:rsidRDefault="009F4E36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44E537FC" w14:textId="05C4B213" w:rsidR="00DF4A68" w:rsidRPr="009F4E36" w:rsidRDefault="009F4E36" w:rsidP="009F4E36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9F4E36">
              <w:rPr>
                <w:rFonts w:ascii="Verdana" w:hAnsi="Verdana" w:cs="Arial"/>
                <w:bCs/>
                <w:sz w:val="16"/>
                <w:szCs w:val="16"/>
              </w:rPr>
              <w:t>(H) Cerrar Caso de Gestión de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8A19098" w14:textId="58E4171A" w:rsidR="00DF4A68" w:rsidRPr="00666AB9" w:rsidRDefault="009F4E3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Coordinador Grupo Desarrollo y Mantenimiento de Aplicaciones., Coordinador Grupo Ingeniería y Soporte Técnico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954B8FD" w14:textId="77777777" w:rsidR="009F4E36" w:rsidRPr="009F4E36" w:rsidRDefault="009F4E36" w:rsidP="009F4E3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Una vez finalizada la gestión de cambio, se documentada el RFC y se cierra el Caso en la Herramienta Mesa de Ayuda.</w:t>
            </w:r>
          </w:p>
          <w:p w14:paraId="4249B141" w14:textId="77777777" w:rsidR="009F4E36" w:rsidRPr="009F4E36" w:rsidRDefault="009F4E36" w:rsidP="009F4E3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021E175" w14:textId="77777777" w:rsidR="009F4E36" w:rsidRPr="009F4E36" w:rsidRDefault="009F4E36" w:rsidP="009F4E3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Actualizar la documentación técnica respectiva.</w:t>
            </w:r>
          </w:p>
          <w:p w14:paraId="4ED30CFC" w14:textId="77777777" w:rsidR="009F4E36" w:rsidRPr="009F4E36" w:rsidRDefault="009F4E36" w:rsidP="009F4E3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F25E787" w14:textId="11A60454" w:rsidR="00DF4A68" w:rsidRPr="009F4E36" w:rsidRDefault="009F4E36" w:rsidP="009F4E36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Informar a los interesados.</w:t>
            </w:r>
          </w:p>
          <w:p w14:paraId="4A7ADBA0" w14:textId="77777777" w:rsidR="00DF4A68" w:rsidRPr="001F4550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934ED16" w14:textId="57AF9D3F" w:rsidR="00DF4A68" w:rsidRPr="00666AB9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99079D"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9079D" w:rsidRPr="001F4550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F729882" w14:textId="0690F427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TE-FM-01</w:t>
            </w:r>
            <w:r w:rsidR="00376144">
              <w:rPr>
                <w:rFonts w:ascii="Verdana" w:hAnsi="Verdana" w:cs="Arial"/>
                <w:sz w:val="16"/>
                <w:szCs w:val="16"/>
              </w:rPr>
              <w:t>3</w:t>
            </w:r>
          </w:p>
          <w:p w14:paraId="4A51A352" w14:textId="10FE6D3C" w:rsidR="00A86177" w:rsidRDefault="00A86177" w:rsidP="00A86177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C560130">
              <w:rPr>
                <w:rFonts w:ascii="Verdana" w:hAnsi="Verdana" w:cs="Arial"/>
                <w:sz w:val="16"/>
                <w:szCs w:val="16"/>
              </w:rPr>
              <w:t xml:space="preserve">Gestión de Cambios  </w:t>
            </w:r>
          </w:p>
          <w:p w14:paraId="5E7844F9" w14:textId="79A8FAEB" w:rsidR="00DF4A68" w:rsidRPr="00666AB9" w:rsidRDefault="009F4E3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3714">
              <w:rPr>
                <w:rFonts w:ascii="Verdana" w:hAnsi="Verdana" w:cs="Arial"/>
                <w:sz w:val="16"/>
                <w:szCs w:val="16"/>
              </w:rPr>
              <w:t xml:space="preserve"> Caso Herramienta Mesa de Ayuda</w:t>
            </w:r>
          </w:p>
        </w:tc>
      </w:tr>
      <w:tr w:rsidR="00DF4A68" w:rsidRPr="00666AB9" w14:paraId="6B664102" w14:textId="77777777" w:rsidTr="5C560130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5FFBD56" w14:textId="1F761427" w:rsidR="00DF4A68" w:rsidRPr="00666AB9" w:rsidRDefault="00DF4A6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5BB73DB" w14:textId="77777777" w:rsidR="00497D9D" w:rsidRDefault="00497D9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5098F21" w14:textId="77777777" w:rsidR="00497D9D" w:rsidRDefault="00497D9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19217975" w14:textId="77777777" w:rsidR="00497D9D" w:rsidRDefault="00497D9D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2F0F55E6" w14:textId="6AC4C0B3" w:rsidR="00DF4A68" w:rsidRPr="009F4E36" w:rsidRDefault="009F4E36" w:rsidP="003033FD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9F4E36">
              <w:rPr>
                <w:rFonts w:ascii="Verdana" w:hAnsi="Verdana" w:cs="Arial"/>
                <w:bCs/>
                <w:sz w:val="16"/>
                <w:szCs w:val="16"/>
              </w:rPr>
              <w:t>(A) Analizar los problemas en la gestión de cambio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A5F213B" w14:textId="1FB12B99" w:rsidR="00DF4A68" w:rsidRPr="00666AB9" w:rsidRDefault="009F4E3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 xml:space="preserve">Profesional Especializado, </w:t>
            </w:r>
            <w:proofErr w:type="spellStart"/>
            <w:r w:rsidRPr="009F4E36">
              <w:rPr>
                <w:rFonts w:ascii="Verdana" w:hAnsi="Verdana" w:cs="Arial"/>
                <w:sz w:val="16"/>
                <w:szCs w:val="16"/>
              </w:rPr>
              <w:t>Lider</w:t>
            </w:r>
            <w:proofErr w:type="spellEnd"/>
            <w:r w:rsidRPr="009F4E36">
              <w:rPr>
                <w:rFonts w:ascii="Verdana" w:hAnsi="Verdana" w:cs="Arial"/>
                <w:sz w:val="16"/>
                <w:szCs w:val="16"/>
              </w:rPr>
              <w:t xml:space="preserve"> del Proceso, Coordinador Grupo Desarrollo y Mantenimiento de Aplicaciones., Coordinador Grupo Ingeniería y Soporte Técnico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EBF8F6B" w14:textId="77777777" w:rsidR="00DF4A68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BB46C42" w14:textId="7A94CE1A" w:rsidR="00DF4A68" w:rsidRPr="009F4E36" w:rsidRDefault="009F4E36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Finaliz</w:t>
            </w:r>
            <w:r>
              <w:rPr>
                <w:rFonts w:ascii="Verdana" w:hAnsi="Verdana" w:cs="Arial"/>
                <w:sz w:val="16"/>
                <w:szCs w:val="16"/>
              </w:rPr>
              <w:t>ar</w:t>
            </w:r>
            <w:r w:rsidRPr="009F4E36">
              <w:rPr>
                <w:rFonts w:ascii="Verdana" w:hAnsi="Verdana" w:cs="Arial"/>
                <w:sz w:val="16"/>
                <w:szCs w:val="16"/>
              </w:rPr>
              <w:t xml:space="preserve"> la implementación de la Gestión de Cambio, se realiza el análisis de los problemas detectados durante la Gestión de Cambio, con el fin de categorizarlos y adelantar las acciones de mejora pertinentes.</w:t>
            </w:r>
          </w:p>
          <w:p w14:paraId="3C54DE26" w14:textId="77777777" w:rsidR="009F4E36" w:rsidRDefault="009F4E36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color w:val="EE0000"/>
                <w:sz w:val="16"/>
                <w:szCs w:val="16"/>
              </w:rPr>
            </w:pPr>
          </w:p>
          <w:p w14:paraId="57631743" w14:textId="77777777" w:rsidR="009F4E36" w:rsidRPr="00A03E66" w:rsidRDefault="009F4E36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color w:val="EE0000"/>
                <w:sz w:val="16"/>
                <w:szCs w:val="16"/>
              </w:rPr>
            </w:pPr>
          </w:p>
          <w:p w14:paraId="2E8ADBFB" w14:textId="66A979FA" w:rsidR="00DF4A68" w:rsidRPr="00666AB9" w:rsidRDefault="00DF4A68" w:rsidP="003033FD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F4550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99079D" w:rsidRPr="001F4550">
              <w:rPr>
                <w:rFonts w:ascii="Verdana" w:hAnsi="Verdana" w:cs="Arial"/>
                <w:sz w:val="16"/>
                <w:szCs w:val="16"/>
              </w:rPr>
              <w:t xml:space="preserve"> Conforme especificidad de la solicitud.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25F64A" w14:textId="598FE933" w:rsidR="00DF4A68" w:rsidRPr="00666AB9" w:rsidRDefault="009F4E36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4E36">
              <w:rPr>
                <w:rFonts w:ascii="Verdana" w:hAnsi="Verdana" w:cs="Arial"/>
                <w:sz w:val="16"/>
                <w:szCs w:val="16"/>
              </w:rPr>
              <w:t>Documento</w:t>
            </w:r>
          </w:p>
        </w:tc>
      </w:tr>
    </w:tbl>
    <w:p w14:paraId="46DDA34D" w14:textId="57959C5D" w:rsidR="00BA58FB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3F0A62DD" w14:textId="77777777" w:rsidR="009F4E36" w:rsidRPr="00666AB9" w:rsidRDefault="009F4E36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5C560130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172D2D76" w:rsidRPr="00666AB9" w14:paraId="54AA9CC1" w14:textId="77777777" w:rsidTr="5C56013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0C7F859D" w:rsidR="172D2D76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2BF9A191" w:rsidR="172D2D76" w:rsidRPr="00666AB9" w:rsidRDefault="00B07FC9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TE</w:t>
            </w:r>
            <w:r w:rsidR="009F4E3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-FM-0</w:t>
            </w:r>
            <w:r w:rsidR="00497D9D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  <w:r w:rsidR="00376144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43965122" w:rsidR="172D2D76" w:rsidRPr="00666AB9" w:rsidRDefault="009F4E36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5C560130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Gestión de Cambios</w:t>
            </w:r>
          </w:p>
        </w:tc>
      </w:tr>
      <w:tr w:rsidR="00666AB9" w:rsidRPr="00666AB9" w14:paraId="5B8533FB" w14:textId="77777777" w:rsidTr="5C56013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13359CE6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5EC570CA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293D5DB1" w:rsidR="00666AB9" w:rsidRPr="00666AB9" w:rsidRDefault="009F4E36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9F4E3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Herramienta de Mesa de Ayuda</w:t>
            </w:r>
          </w:p>
        </w:tc>
      </w:tr>
      <w:tr w:rsidR="00666AB9" w:rsidRPr="00666AB9" w14:paraId="099A4B8D" w14:textId="77777777" w:rsidTr="5C56013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58707" w14:textId="0AD0D443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9E77F" w14:textId="77DA48CD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2B659" w14:textId="6328C7FD" w:rsidR="00666AB9" w:rsidRPr="00666AB9" w:rsidRDefault="009F4E36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9F4E3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Correo Electrónico</w:t>
            </w:r>
          </w:p>
        </w:tc>
      </w:tr>
      <w:tr w:rsidR="00666AB9" w:rsidRPr="00666AB9" w14:paraId="2DD53572" w14:textId="77777777" w:rsidTr="5C560130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A2273" w14:textId="086BC45E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851CB" w14:textId="0C27D3CA" w:rsidR="00666AB9" w:rsidRPr="00666AB9" w:rsidRDefault="009F4E3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C58A" w14:textId="4CF6A49B" w:rsidR="00666AB9" w:rsidRPr="00666AB9" w:rsidRDefault="009F4E36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9F4E36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Documento</w:t>
            </w:r>
          </w:p>
        </w:tc>
      </w:tr>
    </w:tbl>
    <w:p w14:paraId="2D62CA79" w14:textId="77777777" w:rsidR="003033FD" w:rsidRDefault="003033FD" w:rsidP="003033FD">
      <w:pPr>
        <w:spacing w:after="0" w:line="240" w:lineRule="auto"/>
        <w:rPr>
          <w:rFonts w:ascii="Verdana" w:hAnsi="Verdana"/>
        </w:rPr>
      </w:pPr>
    </w:p>
    <w:p w14:paraId="4EE46AFA" w14:textId="77777777" w:rsidR="00583B63" w:rsidRDefault="00583B63" w:rsidP="003033FD">
      <w:pPr>
        <w:spacing w:after="0" w:line="240" w:lineRule="auto"/>
        <w:rPr>
          <w:rFonts w:ascii="Verdana" w:hAnsi="Verdana"/>
        </w:rPr>
      </w:pPr>
    </w:p>
    <w:p w14:paraId="1C0F0447" w14:textId="77777777" w:rsidR="00583B63" w:rsidRDefault="00583B63" w:rsidP="003033FD">
      <w:pPr>
        <w:spacing w:after="0" w:line="240" w:lineRule="auto"/>
        <w:rPr>
          <w:rFonts w:ascii="Verdana" w:hAnsi="Verdana"/>
        </w:rPr>
      </w:pPr>
    </w:p>
    <w:p w14:paraId="2773497D" w14:textId="67E6F75A" w:rsidR="59CAA7FB" w:rsidRDefault="59CAA7FB" w:rsidP="59CAA7FB">
      <w:pPr>
        <w:spacing w:after="0" w:line="240" w:lineRule="auto"/>
        <w:rPr>
          <w:rFonts w:ascii="Verdana" w:hAnsi="Verdana"/>
        </w:rPr>
      </w:pPr>
    </w:p>
    <w:p w14:paraId="47B1DF69" w14:textId="77777777" w:rsidR="00503EEA" w:rsidRDefault="00503EEA" w:rsidP="59CAA7FB">
      <w:pPr>
        <w:spacing w:after="0" w:line="240" w:lineRule="auto"/>
        <w:rPr>
          <w:rFonts w:ascii="Verdana" w:hAnsi="Verdana"/>
        </w:rPr>
      </w:pPr>
    </w:p>
    <w:p w14:paraId="34F63ACE" w14:textId="77777777" w:rsidR="00583B63" w:rsidRPr="00666AB9" w:rsidRDefault="00583B63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59CAA7FB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59CAA7FB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0872CD68" w:rsidR="00EA0826" w:rsidRPr="00666AB9" w:rsidRDefault="2E8F05A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59CAA7FB">
              <w:rPr>
                <w:rFonts w:ascii="Verdana" w:hAnsi="Verdana" w:cs="Arial"/>
                <w:sz w:val="16"/>
                <w:szCs w:val="16"/>
              </w:rPr>
              <w:t>1</w:t>
            </w:r>
            <w:r w:rsidR="656D16BB" w:rsidRPr="59CAA7FB">
              <w:rPr>
                <w:rFonts w:ascii="Verdana" w:hAnsi="Verdana" w:cs="Arial"/>
                <w:sz w:val="16"/>
                <w:szCs w:val="16"/>
              </w:rPr>
              <w:t>2</w:t>
            </w:r>
            <w:r w:rsidRPr="59CAA7FB">
              <w:rPr>
                <w:rFonts w:ascii="Verdana" w:hAnsi="Verdana" w:cs="Arial"/>
                <w:sz w:val="16"/>
                <w:szCs w:val="16"/>
              </w:rPr>
              <w:t>/0</w:t>
            </w:r>
            <w:r w:rsidR="00666140" w:rsidRPr="59CAA7FB">
              <w:rPr>
                <w:rFonts w:ascii="Verdana" w:hAnsi="Verdana" w:cs="Arial"/>
                <w:sz w:val="16"/>
                <w:szCs w:val="16"/>
              </w:rPr>
              <w:t>6</w:t>
            </w:r>
            <w:r w:rsidRPr="59CAA7FB">
              <w:rPr>
                <w:rFonts w:ascii="Verdana" w:hAnsi="Verdana" w:cs="Arial"/>
                <w:sz w:val="16"/>
                <w:szCs w:val="16"/>
              </w:rPr>
              <w:t>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46D96E6" w14:textId="2E3EC34E" w:rsidR="00EA0826" w:rsidRPr="00666AB9" w:rsidRDefault="20AED8C5" w:rsidP="59CAA7FB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59CAA7FB">
              <w:rPr>
                <w:rFonts w:ascii="Verdana" w:hAnsi="Verdana" w:cs="Arial"/>
                <w:sz w:val="16"/>
                <w:szCs w:val="16"/>
              </w:rPr>
              <w:t>Primera versión del documento para el nuevo Mapa de procesos. Código anterior: GTI-PR-00</w:t>
            </w:r>
            <w:r w:rsidR="2A1AF4BE" w:rsidRPr="59CAA7FB">
              <w:rPr>
                <w:rFonts w:ascii="Verdana" w:hAnsi="Verdana" w:cs="Arial"/>
                <w:sz w:val="16"/>
                <w:szCs w:val="16"/>
              </w:rPr>
              <w:t>5</w:t>
            </w:r>
            <w:r w:rsidR="0B866D15" w:rsidRPr="59CAA7FB">
              <w:rPr>
                <w:rFonts w:ascii="Verdana" w:hAnsi="Verdana" w:cs="Arial"/>
                <w:sz w:val="16"/>
                <w:szCs w:val="16"/>
              </w:rPr>
              <w:t>. V00.</w:t>
            </w:r>
          </w:p>
          <w:p w14:paraId="1E1C2C7E" w14:textId="5CBA5587" w:rsidR="00EA0826" w:rsidRPr="00666AB9" w:rsidRDefault="00EA0826" w:rsidP="59CAA7FB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54C5E72" w14:textId="7CAEF798" w:rsidR="00EA0826" w:rsidRPr="00666AB9" w:rsidRDefault="0B866D15" w:rsidP="003033FD">
            <w:pPr>
              <w:spacing w:after="0" w:line="240" w:lineRule="auto"/>
              <w:jc w:val="both"/>
            </w:pPr>
            <w:r w:rsidRPr="59CAA7FB">
              <w:rPr>
                <w:rFonts w:ascii="Verdana" w:eastAsia="Verdana" w:hAnsi="Verdana" w:cs="Verdana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59CAA7FB" w14:paraId="34714D1A" w14:textId="77777777" w:rsidTr="59CAA7FB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DC42C3C" w14:textId="0F21EC93" w:rsidR="59CAA7FB" w:rsidRDefault="59CAA7FB" w:rsidP="59CAA7FB">
                  <w:pPr>
                    <w:spacing w:after="200" w:line="276" w:lineRule="auto"/>
                    <w:jc w:val="center"/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A7CFA" w14:textId="781B6932" w:rsidR="59CAA7FB" w:rsidRDefault="59CAA7FB" w:rsidP="59CAA7FB">
                  <w:pPr>
                    <w:spacing w:after="200" w:line="276" w:lineRule="auto"/>
                    <w:jc w:val="center"/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APROBÓ</w:t>
                  </w:r>
                </w:p>
              </w:tc>
            </w:tr>
            <w:tr w:rsidR="59CAA7FB" w14:paraId="5BE609CA" w14:textId="77777777" w:rsidTr="59CAA7FB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A61E748" w14:textId="3F94658D" w:rsidR="07989C1B" w:rsidRDefault="07989C1B" w:rsidP="59CAA7FB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MANUELA MIRANDA CASTRILLÓN</w:t>
                  </w:r>
                </w:p>
                <w:p w14:paraId="4AAFA341" w14:textId="3374C0A6" w:rsidR="59CAA7FB" w:rsidRDefault="59CAA7FB" w:rsidP="59CAA7FB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Cargo: </w:t>
                  </w:r>
                  <w:r w:rsidR="2FBD9E3D"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Jefe OAPS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46CD8B" w14:textId="766430D9" w:rsidR="2FBD9E3D" w:rsidRDefault="2FBD9E3D" w:rsidP="59CAA7FB">
                  <w:pPr>
                    <w:spacing w:line="276" w:lineRule="auto"/>
                    <w:jc w:val="both"/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MANUELA MIRANDA CASTRILLÓN</w:t>
                  </w:r>
                </w:p>
                <w:p w14:paraId="27477F43" w14:textId="275D6D1D" w:rsidR="59CAA7FB" w:rsidRDefault="59CAA7FB" w:rsidP="59CAA7FB">
                  <w:pPr>
                    <w:spacing w:line="276" w:lineRule="auto"/>
                    <w:jc w:val="both"/>
                  </w:pPr>
                  <w:r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Jefe O</w:t>
                  </w:r>
                  <w:r w:rsidR="3ABFB680" w:rsidRPr="59CAA7FB">
                    <w:rPr>
                      <w:rFonts w:ascii="Verdana" w:eastAsia="Verdana" w:hAnsi="Verdana" w:cs="Verdana"/>
                      <w:sz w:val="16"/>
                      <w:szCs w:val="16"/>
                    </w:rPr>
                    <w:t>APS</w:t>
                  </w:r>
                </w:p>
              </w:tc>
            </w:tr>
          </w:tbl>
          <w:p w14:paraId="4486C4D1" w14:textId="5D1A0869" w:rsidR="00EA0826" w:rsidRPr="00666AB9" w:rsidRDefault="00EA0826" w:rsidP="59CAA7F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4CF8C849" w14:textId="1F27DE29" w:rsidR="00EA0826" w:rsidRPr="00666AB9" w:rsidRDefault="2DBB54DC" w:rsidP="59CAA7F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59CAA7FB">
              <w:rPr>
                <w:rFonts w:ascii="Verdana" w:eastAsia="Verdana" w:hAnsi="Verdana" w:cs="Verdana"/>
                <w:sz w:val="16"/>
                <w:szCs w:val="16"/>
              </w:rPr>
              <w:t>Desde la OAPS se asegura que el contenido corresponde a la última versión vigente en ISOlución al momento de la migración a MIOsoft.</w:t>
            </w:r>
          </w:p>
        </w:tc>
      </w:tr>
    </w:tbl>
    <w:p w14:paraId="428F1053" w14:textId="77777777" w:rsidR="00EA0826" w:rsidRPr="00666AB9" w:rsidRDefault="00EA082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8ED4711" w14:textId="1B79C450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59CAA7FB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59CAA7FB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2928D304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563DB2AC" w:rsidR="172D2D76" w:rsidRPr="00666AB9" w:rsidRDefault="00D603AA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 Saavedra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322C5478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7512F8C9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59CAA7FB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6AA05B95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227A866F" w:rsidR="172D2D76" w:rsidRPr="00666AB9" w:rsidRDefault="00D603AA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10353590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2D27A5C5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1DAECF" w14:textId="0F448530" w:rsidR="172D2D76" w:rsidRPr="00666AB9" w:rsidRDefault="172D2D76">
      <w:pPr>
        <w:rPr>
          <w:rFonts w:ascii="Verdana" w:hAnsi="Verdana"/>
        </w:rPr>
      </w:pPr>
    </w:p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F195" w14:textId="77777777" w:rsidR="00D94C88" w:rsidRDefault="00D94C88" w:rsidP="00FF09A0">
      <w:pPr>
        <w:spacing w:after="0" w:line="240" w:lineRule="auto"/>
      </w:pPr>
      <w:r>
        <w:separator/>
      </w:r>
    </w:p>
  </w:endnote>
  <w:endnote w:type="continuationSeparator" w:id="0">
    <w:p w14:paraId="224340ED" w14:textId="77777777" w:rsidR="00D94C88" w:rsidRDefault="00D94C88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0948" w14:textId="77777777" w:rsidR="00D94C88" w:rsidRDefault="00D94C88" w:rsidP="00FF09A0">
      <w:pPr>
        <w:spacing w:after="0" w:line="240" w:lineRule="auto"/>
      </w:pPr>
      <w:r>
        <w:separator/>
      </w:r>
    </w:p>
  </w:footnote>
  <w:footnote w:type="continuationSeparator" w:id="0">
    <w:p w14:paraId="724EDB3A" w14:textId="77777777" w:rsidR="00D94C88" w:rsidRDefault="00D94C88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59CAA7FB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14CAF4DE">
                <wp:simplePos x="0" y="0"/>
                <wp:positionH relativeFrom="column">
                  <wp:posOffset>35560</wp:posOffset>
                </wp:positionH>
                <wp:positionV relativeFrom="paragraph">
                  <wp:posOffset>-26670</wp:posOffset>
                </wp:positionV>
                <wp:extent cx="866775" cy="529590"/>
                <wp:effectExtent l="0" t="0" r="9525" b="381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514A2C8E" w:rsidR="618C038B" w:rsidRPr="00666AB9" w:rsidRDefault="59CAA7FB" w:rsidP="00666AB9">
          <w:pPr>
            <w:spacing w:after="0"/>
            <w:jc w:val="center"/>
            <w:rPr>
              <w:rFonts w:ascii="Verdana" w:hAnsi="Verdana"/>
            </w:rPr>
          </w:pPr>
          <w:r w:rsidRPr="59CAA7FB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</w:t>
          </w:r>
          <w:r w:rsidRPr="59CAA7FB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59CAA7FB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Gobierno de Información y Estadística</w:t>
          </w:r>
        </w:p>
      </w:tc>
    </w:tr>
    <w:tr w:rsidR="618C038B" w:rsidRPr="00666AB9" w14:paraId="2E987635" w14:textId="77777777" w:rsidTr="59CAA7FB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71D334B9" w:rsidR="4F8B75BB" w:rsidRPr="00666AB9" w:rsidRDefault="00DF4A68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DF4A68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GESTIÓN DE CAMBIOS DE TECNOLOGÍAS DE LA INFORMACIÓN</w:t>
          </w:r>
        </w:p>
      </w:tc>
    </w:tr>
    <w:tr w:rsidR="00666AB9" w:rsidRPr="00666AB9" w14:paraId="3D9C8ACF" w14:textId="77777777" w:rsidTr="59CAA7FB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3600954D" w:rsidR="618C038B" w:rsidRPr="00666AB9" w:rsidRDefault="001F4550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TE-PR-005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5D4CB14E" w:rsidR="618C038B" w:rsidRPr="00666AB9" w:rsidRDefault="001F4550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00774B4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2D1F149C" w:rsidR="618C038B" w:rsidRPr="00666AB9" w:rsidRDefault="59CAA7FB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59CAA7F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12/02/2026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15"/>
  </w:num>
  <w:num w:numId="2" w16cid:durableId="471102456">
    <w:abstractNumId w:val="7"/>
  </w:num>
  <w:num w:numId="3" w16cid:durableId="1771659506">
    <w:abstractNumId w:val="2"/>
  </w:num>
  <w:num w:numId="4" w16cid:durableId="1588463160">
    <w:abstractNumId w:val="11"/>
  </w:num>
  <w:num w:numId="5" w16cid:durableId="1682775774">
    <w:abstractNumId w:val="14"/>
  </w:num>
  <w:num w:numId="6" w16cid:durableId="1853760284">
    <w:abstractNumId w:val="5"/>
  </w:num>
  <w:num w:numId="7" w16cid:durableId="1606812334">
    <w:abstractNumId w:val="1"/>
  </w:num>
  <w:num w:numId="8" w16cid:durableId="2131774369">
    <w:abstractNumId w:val="6"/>
  </w:num>
  <w:num w:numId="9" w16cid:durableId="2138378137">
    <w:abstractNumId w:val="12"/>
  </w:num>
  <w:num w:numId="10" w16cid:durableId="263997478">
    <w:abstractNumId w:val="8"/>
  </w:num>
  <w:num w:numId="11" w16cid:durableId="161429240">
    <w:abstractNumId w:val="13"/>
  </w:num>
  <w:num w:numId="12" w16cid:durableId="1911380020">
    <w:abstractNumId w:val="10"/>
  </w:num>
  <w:num w:numId="13" w16cid:durableId="584992562">
    <w:abstractNumId w:val="0"/>
  </w:num>
  <w:num w:numId="14" w16cid:durableId="1514539714">
    <w:abstractNumId w:val="4"/>
  </w:num>
  <w:num w:numId="15" w16cid:durableId="1983000340">
    <w:abstractNumId w:val="9"/>
  </w:num>
  <w:num w:numId="16" w16cid:durableId="173312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33714"/>
    <w:rsid w:val="000A53BC"/>
    <w:rsid w:val="000A6C04"/>
    <w:rsid w:val="000B20D1"/>
    <w:rsid w:val="000B4925"/>
    <w:rsid w:val="000B497A"/>
    <w:rsid w:val="000D1D89"/>
    <w:rsid w:val="000E5FFE"/>
    <w:rsid w:val="001272C2"/>
    <w:rsid w:val="00150C1C"/>
    <w:rsid w:val="00184E1D"/>
    <w:rsid w:val="001D1B13"/>
    <w:rsid w:val="001E7211"/>
    <w:rsid w:val="001F4550"/>
    <w:rsid w:val="00200F58"/>
    <w:rsid w:val="00222F09"/>
    <w:rsid w:val="00223AA5"/>
    <w:rsid w:val="00237C40"/>
    <w:rsid w:val="0024300F"/>
    <w:rsid w:val="0024690F"/>
    <w:rsid w:val="002609A3"/>
    <w:rsid w:val="0026414F"/>
    <w:rsid w:val="00274A63"/>
    <w:rsid w:val="00291CA0"/>
    <w:rsid w:val="0029205C"/>
    <w:rsid w:val="002931C7"/>
    <w:rsid w:val="002A0289"/>
    <w:rsid w:val="002C3BD4"/>
    <w:rsid w:val="002E6474"/>
    <w:rsid w:val="002F5FEB"/>
    <w:rsid w:val="00300460"/>
    <w:rsid w:val="00301C99"/>
    <w:rsid w:val="003033FD"/>
    <w:rsid w:val="00313C84"/>
    <w:rsid w:val="003545C9"/>
    <w:rsid w:val="003644BD"/>
    <w:rsid w:val="00376144"/>
    <w:rsid w:val="003823B7"/>
    <w:rsid w:val="0039005B"/>
    <w:rsid w:val="003B7177"/>
    <w:rsid w:val="00403988"/>
    <w:rsid w:val="00416D2C"/>
    <w:rsid w:val="0042234F"/>
    <w:rsid w:val="00477007"/>
    <w:rsid w:val="00480D5E"/>
    <w:rsid w:val="00497D9D"/>
    <w:rsid w:val="004A3BE9"/>
    <w:rsid w:val="004B7F25"/>
    <w:rsid w:val="005034CA"/>
    <w:rsid w:val="00503EEA"/>
    <w:rsid w:val="00506C1E"/>
    <w:rsid w:val="00535FDD"/>
    <w:rsid w:val="00573D13"/>
    <w:rsid w:val="005832CD"/>
    <w:rsid w:val="00583B63"/>
    <w:rsid w:val="00584585"/>
    <w:rsid w:val="005901CB"/>
    <w:rsid w:val="005A0CE9"/>
    <w:rsid w:val="005A6B66"/>
    <w:rsid w:val="005B5CEB"/>
    <w:rsid w:val="005B6577"/>
    <w:rsid w:val="005E25C7"/>
    <w:rsid w:val="005F3247"/>
    <w:rsid w:val="006165B0"/>
    <w:rsid w:val="006169FD"/>
    <w:rsid w:val="006233E7"/>
    <w:rsid w:val="006456A3"/>
    <w:rsid w:val="00652021"/>
    <w:rsid w:val="0066027D"/>
    <w:rsid w:val="00666140"/>
    <w:rsid w:val="00666AB9"/>
    <w:rsid w:val="006B1F16"/>
    <w:rsid w:val="006B219B"/>
    <w:rsid w:val="006C52F0"/>
    <w:rsid w:val="006D1AB7"/>
    <w:rsid w:val="006E1279"/>
    <w:rsid w:val="007124C9"/>
    <w:rsid w:val="00713034"/>
    <w:rsid w:val="0072655E"/>
    <w:rsid w:val="00747263"/>
    <w:rsid w:val="00774B47"/>
    <w:rsid w:val="007758F6"/>
    <w:rsid w:val="0079608A"/>
    <w:rsid w:val="00796661"/>
    <w:rsid w:val="007B4E62"/>
    <w:rsid w:val="007C3D27"/>
    <w:rsid w:val="007C4B85"/>
    <w:rsid w:val="008034D9"/>
    <w:rsid w:val="00803ED5"/>
    <w:rsid w:val="00823BA1"/>
    <w:rsid w:val="0087001D"/>
    <w:rsid w:val="00874AE0"/>
    <w:rsid w:val="00885F0D"/>
    <w:rsid w:val="00895E24"/>
    <w:rsid w:val="008974F0"/>
    <w:rsid w:val="008B0C34"/>
    <w:rsid w:val="008F0A6E"/>
    <w:rsid w:val="00917EC7"/>
    <w:rsid w:val="00925745"/>
    <w:rsid w:val="0093090C"/>
    <w:rsid w:val="0093227D"/>
    <w:rsid w:val="00940BA8"/>
    <w:rsid w:val="00944BE9"/>
    <w:rsid w:val="00970821"/>
    <w:rsid w:val="00971C19"/>
    <w:rsid w:val="0099079D"/>
    <w:rsid w:val="009A0A14"/>
    <w:rsid w:val="009A384B"/>
    <w:rsid w:val="009C21BB"/>
    <w:rsid w:val="009C583C"/>
    <w:rsid w:val="009D19DD"/>
    <w:rsid w:val="009D2340"/>
    <w:rsid w:val="009E1DED"/>
    <w:rsid w:val="009E4885"/>
    <w:rsid w:val="009F4E36"/>
    <w:rsid w:val="00A03E66"/>
    <w:rsid w:val="00A202A6"/>
    <w:rsid w:val="00A2078D"/>
    <w:rsid w:val="00A220C0"/>
    <w:rsid w:val="00A32148"/>
    <w:rsid w:val="00A33AC2"/>
    <w:rsid w:val="00A770ED"/>
    <w:rsid w:val="00A808A4"/>
    <w:rsid w:val="00A86177"/>
    <w:rsid w:val="00AD62FA"/>
    <w:rsid w:val="00AF3BAE"/>
    <w:rsid w:val="00B07EC5"/>
    <w:rsid w:val="00B07FC9"/>
    <w:rsid w:val="00B2097D"/>
    <w:rsid w:val="00B37A7C"/>
    <w:rsid w:val="00B679FA"/>
    <w:rsid w:val="00B838E7"/>
    <w:rsid w:val="00BA58FB"/>
    <w:rsid w:val="00BB4EAC"/>
    <w:rsid w:val="00C13464"/>
    <w:rsid w:val="00C71896"/>
    <w:rsid w:val="00C823B2"/>
    <w:rsid w:val="00CA776F"/>
    <w:rsid w:val="00CD1EF5"/>
    <w:rsid w:val="00D102FF"/>
    <w:rsid w:val="00D14010"/>
    <w:rsid w:val="00D27F6A"/>
    <w:rsid w:val="00D30510"/>
    <w:rsid w:val="00D4353B"/>
    <w:rsid w:val="00D603AA"/>
    <w:rsid w:val="00D73C10"/>
    <w:rsid w:val="00D8671B"/>
    <w:rsid w:val="00D94C88"/>
    <w:rsid w:val="00DA19DE"/>
    <w:rsid w:val="00DF4A68"/>
    <w:rsid w:val="00E011C4"/>
    <w:rsid w:val="00E143A7"/>
    <w:rsid w:val="00E32749"/>
    <w:rsid w:val="00E34995"/>
    <w:rsid w:val="00E75BA3"/>
    <w:rsid w:val="00E769B8"/>
    <w:rsid w:val="00E87A9C"/>
    <w:rsid w:val="00E9296C"/>
    <w:rsid w:val="00E947CB"/>
    <w:rsid w:val="00EA0826"/>
    <w:rsid w:val="00EA5AFD"/>
    <w:rsid w:val="00ED1167"/>
    <w:rsid w:val="00EF4DED"/>
    <w:rsid w:val="00F05E25"/>
    <w:rsid w:val="00F1461B"/>
    <w:rsid w:val="00F62291"/>
    <w:rsid w:val="00F74146"/>
    <w:rsid w:val="00F91859"/>
    <w:rsid w:val="00FF09A0"/>
    <w:rsid w:val="022F49F9"/>
    <w:rsid w:val="03025665"/>
    <w:rsid w:val="06C3AAEF"/>
    <w:rsid w:val="07989C1B"/>
    <w:rsid w:val="0B866D15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20AED8C5"/>
    <w:rsid w:val="229EEC18"/>
    <w:rsid w:val="23555441"/>
    <w:rsid w:val="2768B74F"/>
    <w:rsid w:val="289671C6"/>
    <w:rsid w:val="28C2383C"/>
    <w:rsid w:val="29302830"/>
    <w:rsid w:val="2A1AF4BE"/>
    <w:rsid w:val="2DBB54DC"/>
    <w:rsid w:val="2E1845F4"/>
    <w:rsid w:val="2E8F05AB"/>
    <w:rsid w:val="2FBD9E3D"/>
    <w:rsid w:val="30C6FC70"/>
    <w:rsid w:val="315AF3EA"/>
    <w:rsid w:val="31A8E527"/>
    <w:rsid w:val="34DFD2F2"/>
    <w:rsid w:val="36336C7C"/>
    <w:rsid w:val="36605729"/>
    <w:rsid w:val="369878EE"/>
    <w:rsid w:val="394CAF00"/>
    <w:rsid w:val="3ABFB680"/>
    <w:rsid w:val="3BF364D1"/>
    <w:rsid w:val="3D7A8FE6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E796A5D"/>
    <w:rsid w:val="4F8B75BB"/>
    <w:rsid w:val="53619297"/>
    <w:rsid w:val="546C4893"/>
    <w:rsid w:val="54A06F63"/>
    <w:rsid w:val="5847038A"/>
    <w:rsid w:val="59559A9C"/>
    <w:rsid w:val="5965D629"/>
    <w:rsid w:val="59CAA7FB"/>
    <w:rsid w:val="5C560130"/>
    <w:rsid w:val="5C7A4201"/>
    <w:rsid w:val="5D77A161"/>
    <w:rsid w:val="5F315C4B"/>
    <w:rsid w:val="61243E7E"/>
    <w:rsid w:val="618C038B"/>
    <w:rsid w:val="62B7A90C"/>
    <w:rsid w:val="635B5BBB"/>
    <w:rsid w:val="656D16BB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517099D"/>
    <w:rsid w:val="765BC137"/>
    <w:rsid w:val="77BF8195"/>
    <w:rsid w:val="790CAEDB"/>
    <w:rsid w:val="7AC0ADDA"/>
    <w:rsid w:val="7CEF94DF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9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E57C6-07D5-47BF-A778-45230733C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2292</Words>
  <Characters>12608</Characters>
  <Application>Microsoft Office Word</Application>
  <DocSecurity>0</DocSecurity>
  <Lines>105</Lines>
  <Paragraphs>29</Paragraphs>
  <ScaleCrop>false</ScaleCrop>
  <Company>Ministerio de Hacienda y Crédito Público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28</cp:revision>
  <dcterms:created xsi:type="dcterms:W3CDTF">2025-09-17T14:53:00Z</dcterms:created>
  <dcterms:modified xsi:type="dcterms:W3CDTF">2026-06-05T13:11:00Z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