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256F872E" w14:textId="77777777" w:rsidR="009871ED" w:rsidRPr="009871ED" w:rsidRDefault="009871ED" w:rsidP="009871ED">
      <w:pPr>
        <w:spacing w:after="0" w:line="240" w:lineRule="auto"/>
        <w:jc w:val="center"/>
        <w:rPr>
          <w:rFonts w:ascii="Verdana" w:eastAsia="Verdana" w:hAnsi="Verdana" w:cs="Verdana"/>
          <w:b/>
          <w:bCs/>
          <w:sz w:val="34"/>
          <w:szCs w:val="34"/>
          <w:lang w:val="es-ES"/>
        </w:rPr>
      </w:pPr>
      <w:r w:rsidRPr="009871ED">
        <w:rPr>
          <w:rFonts w:ascii="Verdana" w:eastAsia="Verdana" w:hAnsi="Verdana" w:cs="Verdana"/>
          <w:b/>
          <w:bCs/>
          <w:sz w:val="34"/>
          <w:szCs w:val="34"/>
          <w:lang w:val="es-ES"/>
        </w:rPr>
        <w:t>PARÁMETROS DE VERIFICACIÓN DE REPORTES DE</w:t>
      </w:r>
    </w:p>
    <w:p w14:paraId="42A1A895" w14:textId="77777777" w:rsidR="009871ED" w:rsidRPr="009871ED" w:rsidRDefault="009871ED" w:rsidP="009871ED">
      <w:pPr>
        <w:spacing w:after="0" w:line="240" w:lineRule="auto"/>
        <w:jc w:val="center"/>
        <w:rPr>
          <w:rFonts w:ascii="Verdana" w:eastAsia="Verdana" w:hAnsi="Verdana" w:cs="Verdana"/>
          <w:b/>
          <w:bCs/>
          <w:sz w:val="34"/>
          <w:szCs w:val="34"/>
          <w:lang w:val="es-ES"/>
        </w:rPr>
      </w:pPr>
      <w:r w:rsidRPr="009871ED">
        <w:rPr>
          <w:rFonts w:ascii="Verdana" w:eastAsia="Verdana" w:hAnsi="Verdana" w:cs="Verdana"/>
          <w:b/>
          <w:bCs/>
          <w:sz w:val="34"/>
          <w:szCs w:val="34"/>
          <w:lang w:val="es-ES"/>
        </w:rPr>
        <w:t>AVANCE SOBRE DEL PLAN ESTRATÉGICO</w:t>
      </w:r>
    </w:p>
    <w:p w14:paraId="0014AC17" w14:textId="4ECD30CC" w:rsidR="00E0063C" w:rsidRPr="00DD7470" w:rsidRDefault="009871ED" w:rsidP="009871ED">
      <w:pPr>
        <w:spacing w:after="0" w:line="240" w:lineRule="auto"/>
        <w:jc w:val="center"/>
        <w:rPr>
          <w:rFonts w:ascii="Verdana" w:eastAsia="Verdana" w:hAnsi="Verdana" w:cs="Verdana"/>
          <w:b/>
          <w:bCs/>
          <w:sz w:val="24"/>
          <w:szCs w:val="24"/>
          <w:lang w:val="es-ES"/>
        </w:rPr>
      </w:pPr>
      <w:r w:rsidRPr="009871ED">
        <w:rPr>
          <w:rFonts w:ascii="Verdana" w:eastAsia="Verdana" w:hAnsi="Verdana" w:cs="Verdana"/>
          <w:b/>
          <w:bCs/>
          <w:sz w:val="34"/>
          <w:szCs w:val="34"/>
          <w:lang w:val="es-ES"/>
        </w:rPr>
        <w:t>SECTORIAL EN ER+</w:t>
      </w:r>
    </w:p>
    <w:p w14:paraId="59C6D1F7" w14:textId="77777777" w:rsidR="009871ED" w:rsidRDefault="009871ED" w:rsidP="009871ED">
      <w:pPr>
        <w:spacing w:after="0" w:line="240" w:lineRule="auto"/>
        <w:jc w:val="center"/>
        <w:rPr>
          <w:rFonts w:ascii="Verdana" w:eastAsia="Verdana" w:hAnsi="Verdana" w:cs="Verdana"/>
          <w:b/>
          <w:bCs/>
          <w:sz w:val="32"/>
          <w:szCs w:val="32"/>
          <w:lang w:val="es-ES"/>
        </w:rPr>
      </w:pPr>
    </w:p>
    <w:p w14:paraId="4C3FB2FD" w14:textId="6F79C4F8" w:rsidR="00823028" w:rsidRPr="00DD7470" w:rsidRDefault="009871ED" w:rsidP="009871ED">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PD</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sidR="00A646BE">
        <w:rPr>
          <w:rFonts w:ascii="Verdana" w:eastAsia="Verdana" w:hAnsi="Verdana" w:cs="Verdana"/>
          <w:b/>
          <w:bCs/>
          <w:sz w:val="32"/>
          <w:szCs w:val="32"/>
          <w:lang w:val="es-ES"/>
        </w:rPr>
        <w:t>005</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2FD772F1"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9871ED">
        <w:rPr>
          <w:rFonts w:ascii="Verdana" w:eastAsia="Verdana" w:hAnsi="Verdana" w:cs="Verdana"/>
          <w:b/>
          <w:bCs/>
          <w:sz w:val="32"/>
          <w:szCs w:val="32"/>
        </w:rPr>
        <w:t xml:space="preserve"> Planeación y Direccionamiento </w:t>
      </w:r>
      <w:r w:rsidR="00E32C78">
        <w:rPr>
          <w:rFonts w:ascii="Verdana" w:eastAsia="Verdana" w:hAnsi="Verdana" w:cs="Verdana"/>
          <w:b/>
          <w:bCs/>
          <w:sz w:val="32"/>
          <w:szCs w:val="32"/>
        </w:rPr>
        <w:t>Estratégico</w:t>
      </w:r>
    </w:p>
    <w:p w14:paraId="63BD9B9C" w14:textId="5D64406A" w:rsidR="00B65F21" w:rsidRPr="00DD7470" w:rsidRDefault="00A55E7A"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E32C78">
        <w:rPr>
          <w:rFonts w:ascii="Verdana" w:eastAsia="Verdana" w:hAnsi="Verdana" w:cs="Verdana"/>
          <w:b/>
          <w:bCs/>
          <w:sz w:val="32"/>
          <w:szCs w:val="32"/>
        </w:rPr>
        <w:t xml:space="preserve"> de 202</w:t>
      </w:r>
      <w:r w:rsidR="00F151BB">
        <w:rPr>
          <w:rFonts w:ascii="Verdana" w:eastAsia="Verdana" w:hAnsi="Verdana" w:cs="Verdana"/>
          <w:b/>
          <w:bCs/>
          <w:sz w:val="32"/>
          <w:szCs w:val="32"/>
        </w:rPr>
        <w:t>6</w:t>
      </w:r>
    </w:p>
    <w:p w14:paraId="39C27A48" w14:textId="77777777" w:rsidR="00E32C78"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3AB0451F" w14:textId="061BF80B" w:rsidR="009652CF" w:rsidRPr="00DD7470" w:rsidRDefault="009A163B" w:rsidP="00E32C78">
          <w:pPr>
            <w:spacing w:line="240" w:lineRule="auto"/>
            <w:jc w:val="center"/>
            <w:rPr>
              <w:rFonts w:ascii="Verdana" w:eastAsia="Verdana" w:hAnsi="Verdana" w:cs="Verdana"/>
              <w:b/>
              <w:bCs/>
              <w:sz w:val="24"/>
              <w:szCs w:val="24"/>
              <w:lang w:val="es-ES"/>
            </w:rPr>
          </w:pPr>
          <w:r w:rsidRPr="00DD7470">
            <w:rPr>
              <w:rFonts w:ascii="Verdana" w:hAnsi="Verdana"/>
              <w:b/>
              <w:bCs/>
              <w:sz w:val="24"/>
              <w:szCs w:val="24"/>
              <w:lang w:val="es-ES"/>
            </w:rPr>
            <w:t xml:space="preserve">Tabla de </w:t>
          </w:r>
          <w:r w:rsidR="009652CF" w:rsidRPr="00DD7470">
            <w:rPr>
              <w:rFonts w:ascii="Verdana" w:hAnsi="Verdana"/>
              <w:b/>
              <w:bCs/>
              <w:sz w:val="24"/>
              <w:szCs w:val="24"/>
              <w:lang w:val="es-ES"/>
            </w:rPr>
            <w:t>Contenido</w:t>
          </w:r>
        </w:p>
        <w:p w14:paraId="768094E3" w14:textId="77777777" w:rsidR="005627FA" w:rsidRPr="000B3981" w:rsidRDefault="005627FA" w:rsidP="68F2A381">
          <w:pPr>
            <w:spacing w:line="240" w:lineRule="auto"/>
            <w:rPr>
              <w:rFonts w:ascii="Verdana" w:eastAsia="Verdana" w:hAnsi="Verdana" w:cs="Verdana"/>
              <w:sz w:val="20"/>
              <w:szCs w:val="20"/>
              <w:lang w:val="es-ES" w:eastAsia="es-CO"/>
            </w:rPr>
          </w:pPr>
        </w:p>
        <w:p w14:paraId="02AF1278" w14:textId="76CD43B1" w:rsidR="000B3981" w:rsidRPr="000B3981" w:rsidRDefault="009652CF">
          <w:pPr>
            <w:pStyle w:val="TDC1"/>
            <w:tabs>
              <w:tab w:val="left" w:pos="480"/>
              <w:tab w:val="right" w:leader="dot" w:pos="10790"/>
            </w:tabs>
            <w:rPr>
              <w:rFonts w:eastAsiaTheme="minorEastAsia"/>
              <w:noProof/>
              <w:sz w:val="24"/>
              <w:szCs w:val="24"/>
              <w:lang w:eastAsia="es-CO"/>
            </w:rPr>
          </w:pPr>
          <w:r w:rsidRPr="000B3981">
            <w:rPr>
              <w:rFonts w:ascii="Verdana" w:hAnsi="Verdana"/>
              <w:sz w:val="20"/>
              <w:szCs w:val="20"/>
            </w:rPr>
            <w:fldChar w:fldCharType="begin"/>
          </w:r>
          <w:r w:rsidRPr="000B3981">
            <w:rPr>
              <w:rFonts w:ascii="Verdana" w:hAnsi="Verdana"/>
              <w:sz w:val="20"/>
              <w:szCs w:val="20"/>
            </w:rPr>
            <w:instrText xml:space="preserve"> TOC \o "1-3" \h \z \u </w:instrText>
          </w:r>
          <w:r w:rsidRPr="000B3981">
            <w:rPr>
              <w:rFonts w:ascii="Verdana" w:hAnsi="Verdana"/>
              <w:sz w:val="20"/>
              <w:szCs w:val="20"/>
            </w:rPr>
            <w:fldChar w:fldCharType="separate"/>
          </w:r>
          <w:hyperlink w:anchor="_Toc221954305" w:history="1">
            <w:r w:rsidR="000B3981" w:rsidRPr="000B3981">
              <w:rPr>
                <w:rStyle w:val="Hipervnculo"/>
                <w:rFonts w:ascii="Verdana" w:eastAsia="Verdana" w:hAnsi="Verdana" w:cs="Verdana"/>
                <w:noProof/>
              </w:rPr>
              <w:t>1.</w:t>
            </w:r>
            <w:r w:rsidR="000B3981" w:rsidRPr="000B3981">
              <w:rPr>
                <w:rFonts w:eastAsiaTheme="minorEastAsia"/>
                <w:noProof/>
                <w:sz w:val="24"/>
                <w:szCs w:val="24"/>
                <w:lang w:eastAsia="es-CO"/>
              </w:rPr>
              <w:tab/>
            </w:r>
            <w:r w:rsidR="000B3981" w:rsidRPr="000B3981">
              <w:rPr>
                <w:rStyle w:val="Hipervnculo"/>
                <w:rFonts w:ascii="Verdana" w:eastAsia="Verdana" w:hAnsi="Verdana" w:cs="Verdana"/>
                <w:noProof/>
              </w:rPr>
              <w:t>INTRODUCCIÓN</w:t>
            </w:r>
            <w:r w:rsidR="000B3981" w:rsidRPr="000B3981">
              <w:rPr>
                <w:noProof/>
                <w:webHidden/>
              </w:rPr>
              <w:tab/>
            </w:r>
            <w:r w:rsidR="000B3981" w:rsidRPr="000B3981">
              <w:rPr>
                <w:noProof/>
                <w:webHidden/>
              </w:rPr>
              <w:fldChar w:fldCharType="begin"/>
            </w:r>
            <w:r w:rsidR="000B3981" w:rsidRPr="000B3981">
              <w:rPr>
                <w:noProof/>
                <w:webHidden/>
              </w:rPr>
              <w:instrText xml:space="preserve"> PAGEREF _Toc221954305 \h </w:instrText>
            </w:r>
            <w:r w:rsidR="000B3981" w:rsidRPr="000B3981">
              <w:rPr>
                <w:noProof/>
                <w:webHidden/>
              </w:rPr>
            </w:r>
            <w:r w:rsidR="000B3981" w:rsidRPr="000B3981">
              <w:rPr>
                <w:noProof/>
                <w:webHidden/>
              </w:rPr>
              <w:fldChar w:fldCharType="separate"/>
            </w:r>
            <w:r w:rsidR="00391904">
              <w:rPr>
                <w:noProof/>
                <w:webHidden/>
              </w:rPr>
              <w:t>3</w:t>
            </w:r>
            <w:r w:rsidR="000B3981" w:rsidRPr="000B3981">
              <w:rPr>
                <w:noProof/>
                <w:webHidden/>
              </w:rPr>
              <w:fldChar w:fldCharType="end"/>
            </w:r>
          </w:hyperlink>
        </w:p>
        <w:p w14:paraId="11643F37" w14:textId="3CD98D1A" w:rsidR="000B3981" w:rsidRPr="000B3981" w:rsidRDefault="000B3981">
          <w:pPr>
            <w:pStyle w:val="TDC1"/>
            <w:tabs>
              <w:tab w:val="left" w:pos="480"/>
              <w:tab w:val="right" w:leader="dot" w:pos="10790"/>
            </w:tabs>
            <w:rPr>
              <w:rFonts w:eastAsiaTheme="minorEastAsia"/>
              <w:noProof/>
              <w:sz w:val="24"/>
              <w:szCs w:val="24"/>
              <w:lang w:eastAsia="es-CO"/>
            </w:rPr>
          </w:pPr>
          <w:hyperlink w:anchor="_Toc221954306" w:history="1">
            <w:r w:rsidRPr="000B3981">
              <w:rPr>
                <w:rStyle w:val="Hipervnculo"/>
                <w:rFonts w:ascii="Verdana" w:eastAsia="Verdana" w:hAnsi="Verdana" w:cs="Verdana"/>
                <w:noProof/>
              </w:rPr>
              <w:t>2.</w:t>
            </w:r>
            <w:r w:rsidRPr="000B3981">
              <w:rPr>
                <w:rFonts w:eastAsiaTheme="minorEastAsia"/>
                <w:noProof/>
                <w:sz w:val="24"/>
                <w:szCs w:val="24"/>
                <w:lang w:eastAsia="es-CO"/>
              </w:rPr>
              <w:tab/>
            </w:r>
            <w:r w:rsidRPr="000B3981">
              <w:rPr>
                <w:rStyle w:val="Hipervnculo"/>
                <w:rFonts w:ascii="Verdana" w:eastAsia="Verdana" w:hAnsi="Verdana" w:cs="Verdana"/>
                <w:noProof/>
              </w:rPr>
              <w:t>DESARROLLO DEL CONTENIDO</w:t>
            </w:r>
            <w:r w:rsidRPr="000B3981">
              <w:rPr>
                <w:noProof/>
                <w:webHidden/>
              </w:rPr>
              <w:tab/>
            </w:r>
            <w:r w:rsidRPr="000B3981">
              <w:rPr>
                <w:noProof/>
                <w:webHidden/>
              </w:rPr>
              <w:fldChar w:fldCharType="begin"/>
            </w:r>
            <w:r w:rsidRPr="000B3981">
              <w:rPr>
                <w:noProof/>
                <w:webHidden/>
              </w:rPr>
              <w:instrText xml:space="preserve"> PAGEREF _Toc221954306 \h </w:instrText>
            </w:r>
            <w:r w:rsidRPr="000B3981">
              <w:rPr>
                <w:noProof/>
                <w:webHidden/>
              </w:rPr>
            </w:r>
            <w:r w:rsidRPr="000B3981">
              <w:rPr>
                <w:noProof/>
                <w:webHidden/>
              </w:rPr>
              <w:fldChar w:fldCharType="separate"/>
            </w:r>
            <w:r w:rsidR="00391904">
              <w:rPr>
                <w:noProof/>
                <w:webHidden/>
              </w:rPr>
              <w:t>3</w:t>
            </w:r>
            <w:r w:rsidRPr="000B3981">
              <w:rPr>
                <w:noProof/>
                <w:webHidden/>
              </w:rPr>
              <w:fldChar w:fldCharType="end"/>
            </w:r>
          </w:hyperlink>
        </w:p>
        <w:p w14:paraId="4DD9EE9C" w14:textId="4E370753" w:rsidR="000B3981" w:rsidRPr="000B3981" w:rsidRDefault="000B3981">
          <w:pPr>
            <w:pStyle w:val="TDC1"/>
            <w:tabs>
              <w:tab w:val="left" w:pos="480"/>
              <w:tab w:val="right" w:leader="dot" w:pos="10790"/>
            </w:tabs>
            <w:rPr>
              <w:rFonts w:eastAsiaTheme="minorEastAsia"/>
              <w:noProof/>
              <w:sz w:val="24"/>
              <w:szCs w:val="24"/>
              <w:lang w:eastAsia="es-CO"/>
            </w:rPr>
          </w:pPr>
          <w:hyperlink w:anchor="_Toc221954307" w:history="1">
            <w:r w:rsidRPr="000B3981">
              <w:rPr>
                <w:rStyle w:val="Hipervnculo"/>
                <w:rFonts w:ascii="Verdana" w:eastAsia="Verdana" w:hAnsi="Verdana" w:cs="Verdana"/>
                <w:noProof/>
              </w:rPr>
              <w:t>3.</w:t>
            </w:r>
            <w:r w:rsidRPr="000B3981">
              <w:rPr>
                <w:rFonts w:eastAsiaTheme="minorEastAsia"/>
                <w:noProof/>
                <w:sz w:val="24"/>
                <w:szCs w:val="24"/>
                <w:lang w:eastAsia="es-CO"/>
              </w:rPr>
              <w:tab/>
            </w:r>
            <w:r w:rsidRPr="000B3981">
              <w:rPr>
                <w:rStyle w:val="Hipervnculo"/>
                <w:rFonts w:ascii="Verdana" w:eastAsia="Verdana" w:hAnsi="Verdana" w:cs="Verdana"/>
                <w:noProof/>
              </w:rPr>
              <w:t>HISTORIAL DE CAMBIOS</w:t>
            </w:r>
            <w:r w:rsidRPr="000B3981">
              <w:rPr>
                <w:noProof/>
                <w:webHidden/>
              </w:rPr>
              <w:tab/>
            </w:r>
            <w:r w:rsidRPr="000B3981">
              <w:rPr>
                <w:noProof/>
                <w:webHidden/>
              </w:rPr>
              <w:fldChar w:fldCharType="begin"/>
            </w:r>
            <w:r w:rsidRPr="000B3981">
              <w:rPr>
                <w:noProof/>
                <w:webHidden/>
              </w:rPr>
              <w:instrText xml:space="preserve"> PAGEREF _Toc221954307 \h </w:instrText>
            </w:r>
            <w:r w:rsidRPr="000B3981">
              <w:rPr>
                <w:noProof/>
                <w:webHidden/>
              </w:rPr>
            </w:r>
            <w:r w:rsidRPr="000B3981">
              <w:rPr>
                <w:noProof/>
                <w:webHidden/>
              </w:rPr>
              <w:fldChar w:fldCharType="separate"/>
            </w:r>
            <w:r w:rsidR="00391904">
              <w:rPr>
                <w:noProof/>
                <w:webHidden/>
              </w:rPr>
              <w:t>7</w:t>
            </w:r>
            <w:r w:rsidRPr="000B3981">
              <w:rPr>
                <w:noProof/>
                <w:webHidden/>
              </w:rPr>
              <w:fldChar w:fldCharType="end"/>
            </w:r>
          </w:hyperlink>
        </w:p>
        <w:p w14:paraId="3CA3A80B" w14:textId="25285087" w:rsidR="000B3981" w:rsidRPr="000B3981" w:rsidRDefault="000B3981">
          <w:pPr>
            <w:pStyle w:val="TDC1"/>
            <w:tabs>
              <w:tab w:val="left" w:pos="480"/>
              <w:tab w:val="right" w:leader="dot" w:pos="10790"/>
            </w:tabs>
            <w:rPr>
              <w:rFonts w:eastAsiaTheme="minorEastAsia"/>
              <w:noProof/>
              <w:sz w:val="24"/>
              <w:szCs w:val="24"/>
              <w:lang w:eastAsia="es-CO"/>
            </w:rPr>
          </w:pPr>
          <w:hyperlink w:anchor="_Toc221954308" w:history="1">
            <w:r w:rsidRPr="000B3981">
              <w:rPr>
                <w:rStyle w:val="Hipervnculo"/>
                <w:rFonts w:ascii="Verdana" w:eastAsia="Verdana" w:hAnsi="Verdana" w:cs="Verdana"/>
                <w:noProof/>
              </w:rPr>
              <w:t>4.</w:t>
            </w:r>
            <w:r w:rsidRPr="000B3981">
              <w:rPr>
                <w:rFonts w:eastAsiaTheme="minorEastAsia"/>
                <w:noProof/>
                <w:sz w:val="24"/>
                <w:szCs w:val="24"/>
                <w:lang w:eastAsia="es-CO"/>
              </w:rPr>
              <w:tab/>
            </w:r>
            <w:r w:rsidRPr="000B3981">
              <w:rPr>
                <w:rStyle w:val="Hipervnculo"/>
                <w:rFonts w:ascii="Verdana" w:eastAsia="Verdana" w:hAnsi="Verdana" w:cs="Verdana"/>
                <w:noProof/>
              </w:rPr>
              <w:t>FLUJO DE APROBACIÓN</w:t>
            </w:r>
            <w:r w:rsidRPr="000B3981">
              <w:rPr>
                <w:noProof/>
                <w:webHidden/>
              </w:rPr>
              <w:tab/>
            </w:r>
            <w:r w:rsidRPr="000B3981">
              <w:rPr>
                <w:noProof/>
                <w:webHidden/>
              </w:rPr>
              <w:fldChar w:fldCharType="begin"/>
            </w:r>
            <w:r w:rsidRPr="000B3981">
              <w:rPr>
                <w:noProof/>
                <w:webHidden/>
              </w:rPr>
              <w:instrText xml:space="preserve"> PAGEREF _Toc221954308 \h </w:instrText>
            </w:r>
            <w:r w:rsidRPr="000B3981">
              <w:rPr>
                <w:noProof/>
                <w:webHidden/>
              </w:rPr>
            </w:r>
            <w:r w:rsidRPr="000B3981">
              <w:rPr>
                <w:noProof/>
                <w:webHidden/>
              </w:rPr>
              <w:fldChar w:fldCharType="separate"/>
            </w:r>
            <w:r w:rsidR="00391904">
              <w:rPr>
                <w:noProof/>
                <w:webHidden/>
              </w:rPr>
              <w:t>7</w:t>
            </w:r>
            <w:r w:rsidRPr="000B3981">
              <w:rPr>
                <w:noProof/>
                <w:webHidden/>
              </w:rPr>
              <w:fldChar w:fldCharType="end"/>
            </w:r>
          </w:hyperlink>
        </w:p>
        <w:p w14:paraId="17587CEC" w14:textId="6D7291E0" w:rsidR="009652CF" w:rsidRPr="00DD7470" w:rsidRDefault="009652CF" w:rsidP="68F2A381">
          <w:pPr>
            <w:spacing w:line="240" w:lineRule="auto"/>
            <w:rPr>
              <w:rFonts w:ascii="Verdana" w:eastAsia="Verdana" w:hAnsi="Verdana" w:cs="Verdana"/>
              <w:sz w:val="20"/>
              <w:szCs w:val="20"/>
            </w:rPr>
          </w:pPr>
          <w:r w:rsidRPr="000B3981">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0069CBD" w14:textId="5449D4DA" w:rsidR="00F22008" w:rsidRPr="00DD7470" w:rsidRDefault="00F22008" w:rsidP="68F2A381">
      <w:pPr>
        <w:spacing w:after="0" w:line="240" w:lineRule="auto"/>
        <w:ind w:left="708" w:hanging="708"/>
        <w:rPr>
          <w:b/>
          <w:bCs/>
          <w:lang w:val="es-ES"/>
        </w:rPr>
      </w:pPr>
    </w:p>
    <w:p w14:paraId="21553D97" w14:textId="732B2171" w:rsidR="00F22008" w:rsidRPr="00DD7470" w:rsidRDefault="00F22008" w:rsidP="68F2A381">
      <w:pPr>
        <w:spacing w:after="0" w:line="240" w:lineRule="auto"/>
        <w:ind w:left="708" w:hanging="708"/>
        <w:rPr>
          <w:b/>
          <w:bCs/>
          <w:lang w:val="es-ES"/>
        </w:rPr>
      </w:pPr>
    </w:p>
    <w:p w14:paraId="568D98C2" w14:textId="38AEFE61" w:rsidR="00F22008" w:rsidRPr="00DD7470" w:rsidRDefault="00F22008" w:rsidP="68F2A381">
      <w:pPr>
        <w:spacing w:after="0" w:line="240" w:lineRule="auto"/>
        <w:ind w:left="708" w:hanging="708"/>
        <w:rPr>
          <w:b/>
          <w:bCs/>
          <w:lang w:val="es-ES"/>
        </w:rPr>
      </w:pPr>
    </w:p>
    <w:p w14:paraId="53D4F3F6" w14:textId="34902519" w:rsidR="00F22008" w:rsidRPr="00DD7470" w:rsidRDefault="00F22008" w:rsidP="68F2A381">
      <w:pPr>
        <w:spacing w:after="0" w:line="240" w:lineRule="auto"/>
        <w:ind w:left="708" w:hanging="708"/>
        <w:rPr>
          <w:b/>
          <w:bCs/>
          <w:lang w:val="es-ES"/>
        </w:rPr>
      </w:pPr>
    </w:p>
    <w:p w14:paraId="18CFDF9F" w14:textId="5CFB35B6" w:rsidR="00F22008" w:rsidRPr="00DD7470" w:rsidRDefault="00F22008" w:rsidP="68F2A381">
      <w:pPr>
        <w:spacing w:after="0" w:line="240" w:lineRule="auto"/>
        <w:ind w:left="708" w:hanging="708"/>
        <w:rPr>
          <w:b/>
          <w:bCs/>
          <w:lang w:val="es-ES"/>
        </w:rPr>
      </w:pPr>
    </w:p>
    <w:p w14:paraId="10CE8845" w14:textId="59B14335" w:rsidR="00F22008" w:rsidRPr="00DD7470" w:rsidRDefault="00F22008" w:rsidP="68F2A381">
      <w:pPr>
        <w:spacing w:after="0" w:line="240" w:lineRule="auto"/>
        <w:ind w:left="708" w:hanging="708"/>
        <w:rPr>
          <w:b/>
          <w:bCs/>
          <w:lang w:val="es-ES"/>
        </w:rPr>
      </w:pPr>
    </w:p>
    <w:p w14:paraId="7E4DCF40" w14:textId="690D0BA3"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68F2A381">
      <w:pPr>
        <w:spacing w:after="0" w:line="240" w:lineRule="auto"/>
        <w:ind w:left="708" w:hanging="708"/>
        <w:rPr>
          <w:b/>
          <w:bCs/>
          <w:lang w:val="es-ES"/>
        </w:rPr>
      </w:pPr>
    </w:p>
    <w:p w14:paraId="356A2F1E" w14:textId="065E8042" w:rsidR="00F22008" w:rsidRPr="00DD7470" w:rsidRDefault="00F22008" w:rsidP="68F2A381">
      <w:pPr>
        <w:spacing w:after="0" w:line="240" w:lineRule="auto"/>
        <w:ind w:left="708" w:hanging="708"/>
        <w:rPr>
          <w:b/>
          <w:bCs/>
          <w:lang w:val="es-ES"/>
        </w:rPr>
      </w:pPr>
    </w:p>
    <w:p w14:paraId="59D75F58" w14:textId="117D84A7" w:rsidR="00F22008" w:rsidRPr="00DD7470" w:rsidRDefault="00F22008" w:rsidP="68F2A381">
      <w:pPr>
        <w:spacing w:after="0" w:line="240" w:lineRule="auto"/>
        <w:ind w:left="708" w:hanging="708"/>
        <w:rPr>
          <w:b/>
          <w:bCs/>
          <w:lang w:val="es-ES"/>
        </w:rPr>
      </w:pPr>
    </w:p>
    <w:p w14:paraId="0F71A64F" w14:textId="30008F2E" w:rsidR="00F22008" w:rsidRPr="00DD7470" w:rsidRDefault="00F22008" w:rsidP="68F2A381">
      <w:pPr>
        <w:spacing w:after="0" w:line="240" w:lineRule="auto"/>
        <w:ind w:left="708" w:hanging="708"/>
        <w:rPr>
          <w:b/>
          <w:bCs/>
          <w:lang w:val="es-ES"/>
        </w:rPr>
      </w:pPr>
    </w:p>
    <w:p w14:paraId="2913AE7F" w14:textId="583112BF" w:rsidR="00F22008" w:rsidRPr="00DD7470" w:rsidRDefault="00F22008" w:rsidP="68F2A381">
      <w:pPr>
        <w:spacing w:after="0" w:line="240" w:lineRule="auto"/>
        <w:ind w:left="708" w:hanging="708"/>
        <w:rPr>
          <w:b/>
          <w:bCs/>
          <w:lang w:val="es-ES"/>
        </w:rPr>
      </w:pPr>
    </w:p>
    <w:p w14:paraId="47269B12" w14:textId="022496DA" w:rsidR="00F22008" w:rsidRPr="00DD7470" w:rsidRDefault="00F22008" w:rsidP="68F2A381">
      <w:pPr>
        <w:spacing w:after="0" w:line="240" w:lineRule="auto"/>
        <w:ind w:left="708" w:hanging="708"/>
        <w:rPr>
          <w:b/>
          <w:bCs/>
          <w:lang w:val="es-ES"/>
        </w:rPr>
      </w:pPr>
    </w:p>
    <w:p w14:paraId="2D435C05" w14:textId="7EC6915D" w:rsidR="00F22008" w:rsidRPr="00DD7470" w:rsidRDefault="00F22008" w:rsidP="68F2A381">
      <w:pPr>
        <w:spacing w:after="0" w:line="240" w:lineRule="auto"/>
        <w:ind w:left="708" w:hanging="708"/>
        <w:rPr>
          <w:b/>
          <w:bCs/>
          <w:lang w:val="es-ES"/>
        </w:rPr>
      </w:pPr>
    </w:p>
    <w:p w14:paraId="059C67F7" w14:textId="44AF9968" w:rsidR="00F22008" w:rsidRPr="00DD7470" w:rsidRDefault="00F22008" w:rsidP="68F2A381">
      <w:pPr>
        <w:spacing w:after="0" w:line="240" w:lineRule="auto"/>
        <w:ind w:left="708" w:hanging="708"/>
        <w:rPr>
          <w:b/>
          <w:bCs/>
          <w:lang w:val="es-ES"/>
        </w:rPr>
      </w:pPr>
    </w:p>
    <w:p w14:paraId="26EE6D4F" w14:textId="7160E9F4" w:rsidR="00F22008" w:rsidRPr="00DD7470" w:rsidRDefault="00F22008" w:rsidP="68F2A381">
      <w:pPr>
        <w:spacing w:after="0" w:line="240" w:lineRule="auto"/>
        <w:ind w:left="708" w:hanging="708"/>
        <w:rPr>
          <w:b/>
          <w:bCs/>
          <w:lang w:val="es-ES"/>
        </w:rPr>
      </w:pPr>
    </w:p>
    <w:p w14:paraId="7762D564" w14:textId="7AB3BEE1" w:rsidR="00E32C78" w:rsidRPr="00C80DC3" w:rsidRDefault="00E32C78" w:rsidP="007B7928">
      <w:pPr>
        <w:pStyle w:val="Ttulo1"/>
        <w:numPr>
          <w:ilvl w:val="0"/>
          <w:numId w:val="35"/>
        </w:numPr>
        <w:spacing w:before="0" w:after="0"/>
        <w:rPr>
          <w:rFonts w:ascii="Verdana" w:eastAsia="Verdana" w:hAnsi="Verdana" w:cs="Verdana"/>
          <w:b/>
          <w:bCs/>
          <w:color w:val="auto"/>
          <w:sz w:val="22"/>
          <w:szCs w:val="22"/>
        </w:rPr>
      </w:pPr>
      <w:bookmarkStart w:id="0" w:name="_Toc221954305"/>
      <w:r w:rsidRPr="00C80DC3">
        <w:rPr>
          <w:rFonts w:ascii="Verdana" w:eastAsia="Verdana" w:hAnsi="Verdana" w:cs="Verdana"/>
          <w:b/>
          <w:bCs/>
          <w:color w:val="auto"/>
          <w:sz w:val="22"/>
          <w:szCs w:val="22"/>
        </w:rPr>
        <w:lastRenderedPageBreak/>
        <w:t>INTRODUCCIÓN</w:t>
      </w:r>
      <w:bookmarkEnd w:id="0"/>
    </w:p>
    <w:p w14:paraId="5CAEBBD7" w14:textId="77777777" w:rsidR="00E32C78" w:rsidRPr="00C80DC3" w:rsidRDefault="00E32C78" w:rsidP="00E32C78">
      <w:pPr>
        <w:spacing w:after="0"/>
        <w:rPr>
          <w:rFonts w:ascii="Verdana" w:hAnsi="Verdana"/>
        </w:rPr>
      </w:pPr>
    </w:p>
    <w:p w14:paraId="1B784758" w14:textId="77777777" w:rsidR="00E32C78" w:rsidRPr="00C80DC3" w:rsidRDefault="00E32C78" w:rsidP="00E32C78">
      <w:pPr>
        <w:spacing w:after="0" w:line="240" w:lineRule="auto"/>
        <w:jc w:val="both"/>
        <w:rPr>
          <w:rFonts w:ascii="Verdana" w:hAnsi="Verdana"/>
        </w:rPr>
      </w:pPr>
      <w:r w:rsidRPr="00C80DC3">
        <w:rPr>
          <w:rFonts w:ascii="Verdana" w:hAnsi="Verdana"/>
        </w:rPr>
        <w:t xml:space="preserve">El seguimiento al Plan Estratégico Sectorial (PES) permitirá al Ministerio y a sus entidades adscritas y vinculadas conocer el progreso de su gestión frente a la consecución de sus objetivos y de las metas priorizadas. El seguimiento está orientado a retroalimentar la ejecución de las políticas sectoriales con información del desempeño de sus entidades frente a la batería de indicadores que recoge el PES. </w:t>
      </w:r>
    </w:p>
    <w:p w14:paraId="7055B988" w14:textId="77777777" w:rsidR="00E32C78" w:rsidRPr="00C80DC3" w:rsidRDefault="00E32C78" w:rsidP="00E32C78">
      <w:pPr>
        <w:spacing w:after="0" w:line="240" w:lineRule="auto"/>
        <w:jc w:val="both"/>
        <w:rPr>
          <w:rFonts w:ascii="Verdana" w:hAnsi="Verdana"/>
        </w:rPr>
      </w:pPr>
    </w:p>
    <w:p w14:paraId="23BB89F3" w14:textId="77777777" w:rsidR="00E32C78" w:rsidRPr="00C80DC3" w:rsidRDefault="00E32C78" w:rsidP="00E32C78">
      <w:pPr>
        <w:spacing w:after="0" w:line="240" w:lineRule="auto"/>
        <w:jc w:val="both"/>
        <w:rPr>
          <w:rFonts w:ascii="Verdana" w:hAnsi="Verdana"/>
        </w:rPr>
      </w:pPr>
      <w:r w:rsidRPr="00C80DC3">
        <w:rPr>
          <w:rFonts w:ascii="Verdana" w:hAnsi="Verdana"/>
        </w:rPr>
        <w:t xml:space="preserve">Para el efecto, en 2023 se actualizó la plataforma Evaluación por Resultados (ER+), herramienta que permitirá verificar mensualmente el avance de metas de las entidades, y, trimestralmente, realizar un análisis que servirá como insumo para tomar decisiones y emprender acciones orientadas a alcanzar los objetivos del sector que se reflejan en el PES. </w:t>
      </w:r>
    </w:p>
    <w:p w14:paraId="6CA7E659" w14:textId="77777777" w:rsidR="00E32C78" w:rsidRPr="00C80DC3" w:rsidRDefault="00E32C78" w:rsidP="00E32C78">
      <w:pPr>
        <w:spacing w:after="0" w:line="240" w:lineRule="auto"/>
        <w:jc w:val="both"/>
        <w:rPr>
          <w:rFonts w:ascii="Verdana" w:hAnsi="Verdana"/>
        </w:rPr>
      </w:pPr>
    </w:p>
    <w:p w14:paraId="003CD195" w14:textId="77777777" w:rsidR="00E32C78" w:rsidRPr="00C80DC3" w:rsidRDefault="00E32C78" w:rsidP="00E32C78">
      <w:pPr>
        <w:spacing w:after="0" w:line="240" w:lineRule="auto"/>
        <w:jc w:val="both"/>
        <w:rPr>
          <w:rFonts w:ascii="Verdana" w:eastAsia="Verdana" w:hAnsi="Verdana" w:cs="Verdana"/>
          <w:b/>
          <w:bCs/>
        </w:rPr>
      </w:pPr>
      <w:r w:rsidRPr="00C80DC3">
        <w:rPr>
          <w:rFonts w:ascii="Verdana" w:hAnsi="Verdana"/>
        </w:rPr>
        <w:t xml:space="preserve">Este documento contiene los criterios que los responsables de cada uno de los indicadores contenidos en la </w:t>
      </w:r>
      <w:proofErr w:type="gramStart"/>
      <w:r w:rsidRPr="00C80DC3">
        <w:rPr>
          <w:rFonts w:ascii="Verdana" w:hAnsi="Verdana"/>
        </w:rPr>
        <w:t>PES,</w:t>
      </w:r>
      <w:proofErr w:type="gramEnd"/>
      <w:r w:rsidRPr="00C80DC3">
        <w:rPr>
          <w:rFonts w:ascii="Verdana" w:hAnsi="Verdana"/>
        </w:rPr>
        <w:t xml:space="preserve"> deben tener en cuenta al momento de hacer los reportes mensuales y trimestrales en la plataforma, los cuales son revisados y verificados inicialmente por los profesionales de la Oficina Asesora de Planeación Sectorial (OAPS), en su rol de segunda línea de defensa, y, posteriormente, por la Oficina de Control Interno, como tercera línea de defensa.</w:t>
      </w:r>
    </w:p>
    <w:p w14:paraId="45B6A345" w14:textId="77777777" w:rsidR="007B7928" w:rsidRPr="00C80DC3" w:rsidRDefault="007B7928" w:rsidP="007B7928">
      <w:pPr>
        <w:pStyle w:val="Ttulo1"/>
        <w:rPr>
          <w:rFonts w:ascii="Verdana" w:eastAsiaTheme="minorHAnsi" w:hAnsi="Verdana" w:cstheme="minorBidi"/>
          <w:color w:val="auto"/>
          <w:sz w:val="22"/>
          <w:szCs w:val="22"/>
        </w:rPr>
      </w:pPr>
    </w:p>
    <w:p w14:paraId="57B35BAF" w14:textId="4EC18E5D" w:rsidR="00C80DC3" w:rsidRPr="00CA2A77" w:rsidRDefault="00C80DC3" w:rsidP="00CA2A77">
      <w:pPr>
        <w:pStyle w:val="Ttulo1"/>
        <w:numPr>
          <w:ilvl w:val="0"/>
          <w:numId w:val="35"/>
        </w:numPr>
        <w:spacing w:before="0" w:after="0"/>
        <w:rPr>
          <w:rFonts w:ascii="Verdana" w:eastAsia="Verdana" w:hAnsi="Verdana" w:cs="Verdana"/>
          <w:b/>
          <w:bCs/>
          <w:color w:val="auto"/>
          <w:sz w:val="22"/>
          <w:szCs w:val="22"/>
        </w:rPr>
      </w:pPr>
      <w:bookmarkStart w:id="1" w:name="_Toc221954306"/>
      <w:r w:rsidRPr="00CA2A77">
        <w:rPr>
          <w:rFonts w:ascii="Verdana" w:eastAsia="Verdana" w:hAnsi="Verdana" w:cs="Verdana"/>
          <w:b/>
          <w:bCs/>
          <w:color w:val="auto"/>
          <w:sz w:val="22"/>
          <w:szCs w:val="22"/>
        </w:rPr>
        <w:t>DESARROLLO DEL CONTENIDO</w:t>
      </w:r>
      <w:bookmarkEnd w:id="1"/>
    </w:p>
    <w:p w14:paraId="16D1348C" w14:textId="77777777" w:rsidR="00C80DC3" w:rsidRDefault="00C80DC3" w:rsidP="00C80DC3">
      <w:pPr>
        <w:pStyle w:val="Prrafodelista"/>
        <w:spacing w:after="0" w:line="240" w:lineRule="auto"/>
        <w:rPr>
          <w:rFonts w:ascii="Verdana" w:hAnsi="Verdana"/>
          <w:b/>
        </w:rPr>
      </w:pPr>
    </w:p>
    <w:p w14:paraId="21004030" w14:textId="77777777" w:rsidR="00DD70F8" w:rsidRDefault="00DD70F8" w:rsidP="00C80DC3">
      <w:pPr>
        <w:pStyle w:val="Prrafodelista"/>
        <w:spacing w:after="0" w:line="240" w:lineRule="auto"/>
        <w:rPr>
          <w:rFonts w:ascii="Verdana" w:hAnsi="Verdana"/>
          <w:b/>
        </w:rPr>
      </w:pPr>
    </w:p>
    <w:p w14:paraId="520C4130" w14:textId="1FBDD1A2" w:rsidR="007B7928" w:rsidRPr="00C80DC3" w:rsidRDefault="00C80DC3" w:rsidP="00C80DC3">
      <w:pPr>
        <w:pStyle w:val="Prrafodelista"/>
        <w:numPr>
          <w:ilvl w:val="1"/>
          <w:numId w:val="37"/>
        </w:numPr>
        <w:spacing w:after="0" w:line="240" w:lineRule="auto"/>
        <w:rPr>
          <w:rFonts w:ascii="Verdana" w:hAnsi="Verdana"/>
          <w:b/>
        </w:rPr>
      </w:pPr>
      <w:r>
        <w:rPr>
          <w:rFonts w:ascii="Verdana" w:hAnsi="Verdana"/>
          <w:b/>
        </w:rPr>
        <w:t>Generalidades de l</w:t>
      </w:r>
      <w:r w:rsidRPr="00C80DC3">
        <w:rPr>
          <w:rFonts w:ascii="Verdana" w:hAnsi="Verdana"/>
          <w:b/>
        </w:rPr>
        <w:t>a Revisión</w:t>
      </w:r>
    </w:p>
    <w:p w14:paraId="6446BED0" w14:textId="77777777" w:rsidR="007B7928" w:rsidRPr="00C80DC3" w:rsidRDefault="007B7928" w:rsidP="68F2A381">
      <w:pPr>
        <w:spacing w:after="0" w:line="240" w:lineRule="auto"/>
        <w:rPr>
          <w:rFonts w:ascii="Verdana" w:hAnsi="Verdana"/>
        </w:rPr>
      </w:pPr>
    </w:p>
    <w:p w14:paraId="3DB43D0B" w14:textId="5DD6D302" w:rsidR="007B7928" w:rsidRPr="00C80DC3" w:rsidRDefault="007B7928" w:rsidP="007B7928">
      <w:pPr>
        <w:pStyle w:val="Prrafodelista"/>
        <w:numPr>
          <w:ilvl w:val="0"/>
          <w:numId w:val="36"/>
        </w:numPr>
        <w:spacing w:after="0" w:line="240" w:lineRule="auto"/>
        <w:rPr>
          <w:rFonts w:ascii="Verdana" w:hAnsi="Verdana"/>
        </w:rPr>
      </w:pPr>
      <w:r w:rsidRPr="00C80DC3">
        <w:rPr>
          <w:rFonts w:ascii="Verdana" w:hAnsi="Verdana"/>
        </w:rPr>
        <w:t xml:space="preserve">Coherencia de los reportes cualitativos con respecto a la caracterización del indicador contenida en la ficha técnica. </w:t>
      </w:r>
    </w:p>
    <w:p w14:paraId="1C22D390" w14:textId="61338560" w:rsidR="007B7928" w:rsidRPr="00C80DC3" w:rsidRDefault="007B7928" w:rsidP="007B7928">
      <w:pPr>
        <w:pStyle w:val="Prrafodelista"/>
        <w:numPr>
          <w:ilvl w:val="0"/>
          <w:numId w:val="36"/>
        </w:numPr>
        <w:spacing w:after="0" w:line="240" w:lineRule="auto"/>
        <w:rPr>
          <w:rFonts w:ascii="Verdana" w:hAnsi="Verdana"/>
        </w:rPr>
      </w:pPr>
      <w:r w:rsidRPr="00C80DC3">
        <w:rPr>
          <w:rFonts w:ascii="Verdana" w:hAnsi="Verdana"/>
        </w:rPr>
        <w:t xml:space="preserve">Coherencia de los avances cuantitativos reportados con el tipo de acumulación, unidad de medida, fórmula de cálculo y meta del año y del cuatrienio programada. </w:t>
      </w:r>
    </w:p>
    <w:p w14:paraId="4AA52B74" w14:textId="3A6E2ECE" w:rsidR="68F2A381" w:rsidRPr="00C80DC3" w:rsidRDefault="007B7928" w:rsidP="007B7928">
      <w:pPr>
        <w:pStyle w:val="Prrafodelista"/>
        <w:numPr>
          <w:ilvl w:val="0"/>
          <w:numId w:val="36"/>
        </w:numPr>
        <w:spacing w:after="0" w:line="240" w:lineRule="auto"/>
        <w:rPr>
          <w:rFonts w:ascii="Verdana" w:eastAsia="Verdana" w:hAnsi="Verdana" w:cs="Verdana"/>
          <w:b/>
          <w:bCs/>
          <w:sz w:val="18"/>
          <w:szCs w:val="18"/>
        </w:rPr>
      </w:pPr>
      <w:r w:rsidRPr="00C80DC3">
        <w:rPr>
          <w:rFonts w:ascii="Verdana" w:hAnsi="Verdana"/>
        </w:rPr>
        <w:t>Consistencia de los soportes y evidencias, relacionados con el periodo de reporte (o acumulado), que den cuenta del resultado alcanzado y que coincidan con la “descripción de la evidencia” registrada en la ficha técnica.</w:t>
      </w:r>
    </w:p>
    <w:p w14:paraId="1EC94541" w14:textId="5A5172A7" w:rsidR="68F2A381" w:rsidRPr="00C80DC3" w:rsidRDefault="68F2A381" w:rsidP="68F2A381">
      <w:pPr>
        <w:spacing w:after="0" w:line="240" w:lineRule="auto"/>
        <w:rPr>
          <w:rFonts w:ascii="Verdana" w:eastAsia="Verdana" w:hAnsi="Verdana" w:cs="Verdana"/>
          <w:b/>
          <w:bCs/>
          <w:sz w:val="18"/>
          <w:szCs w:val="18"/>
        </w:rPr>
      </w:pPr>
    </w:p>
    <w:p w14:paraId="6DE77074" w14:textId="77777777" w:rsidR="00665072" w:rsidRPr="00DD7470" w:rsidRDefault="00665072" w:rsidP="68F2A381">
      <w:pPr>
        <w:spacing w:after="0" w:line="240" w:lineRule="auto"/>
        <w:rPr>
          <w:rFonts w:ascii="Verdana" w:eastAsia="Verdana" w:hAnsi="Verdana" w:cs="Verdana"/>
          <w:b/>
          <w:bCs/>
          <w:sz w:val="18"/>
          <w:szCs w:val="18"/>
        </w:rPr>
      </w:pPr>
    </w:p>
    <w:p w14:paraId="02B368D4" w14:textId="77777777" w:rsidR="00DD70F8" w:rsidRPr="00F27C7E" w:rsidRDefault="00DD70F8" w:rsidP="68F2A381">
      <w:pPr>
        <w:spacing w:after="0" w:line="240" w:lineRule="auto"/>
        <w:rPr>
          <w:rFonts w:ascii="Verdana" w:eastAsia="Verdana" w:hAnsi="Verdana" w:cs="Verdana"/>
          <w:b/>
          <w:bCs/>
        </w:rPr>
      </w:pPr>
    </w:p>
    <w:p w14:paraId="4410D64D" w14:textId="060AFAFA" w:rsidR="00C80DC3" w:rsidRPr="00F27C7E" w:rsidRDefault="00C80DC3" w:rsidP="00C80DC3">
      <w:pPr>
        <w:pStyle w:val="Prrafodelista"/>
        <w:numPr>
          <w:ilvl w:val="1"/>
          <w:numId w:val="37"/>
        </w:numPr>
        <w:spacing w:after="0" w:line="240" w:lineRule="auto"/>
        <w:rPr>
          <w:rFonts w:ascii="Verdana" w:hAnsi="Verdana"/>
          <w:b/>
        </w:rPr>
      </w:pPr>
      <w:r w:rsidRPr="00F27C7E">
        <w:rPr>
          <w:rFonts w:ascii="Verdana" w:hAnsi="Verdana"/>
          <w:b/>
        </w:rPr>
        <w:t xml:space="preserve">¿Qué se revisa? </w:t>
      </w:r>
    </w:p>
    <w:p w14:paraId="1CB06610" w14:textId="77777777" w:rsidR="00C80DC3" w:rsidRPr="00F27C7E" w:rsidRDefault="00C80DC3" w:rsidP="68F2A381">
      <w:pPr>
        <w:spacing w:after="0" w:line="240" w:lineRule="auto"/>
        <w:rPr>
          <w:rFonts w:ascii="Verdana" w:hAnsi="Verdana"/>
        </w:rPr>
      </w:pPr>
    </w:p>
    <w:p w14:paraId="36483021" w14:textId="6463C05C" w:rsidR="00C80DC3" w:rsidRPr="00F27C7E" w:rsidRDefault="00C80DC3" w:rsidP="00C80DC3">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 Frente al avance cuantitativo </w:t>
      </w:r>
    </w:p>
    <w:p w14:paraId="4FD56BE8" w14:textId="7F591453" w:rsidR="00C80DC3" w:rsidRPr="00F27C7E" w:rsidRDefault="00C80DC3" w:rsidP="00C80DC3">
      <w:pPr>
        <w:pStyle w:val="Prrafodelista"/>
        <w:numPr>
          <w:ilvl w:val="0"/>
          <w:numId w:val="39"/>
        </w:numPr>
        <w:spacing w:after="0" w:line="240" w:lineRule="auto"/>
        <w:rPr>
          <w:rFonts w:ascii="Verdana" w:eastAsia="Verdana" w:hAnsi="Verdana" w:cs="Verdana"/>
          <w:b/>
          <w:bCs/>
        </w:rPr>
      </w:pPr>
      <w:r w:rsidRPr="00F27C7E">
        <w:rPr>
          <w:rFonts w:ascii="Verdana" w:hAnsi="Verdana"/>
        </w:rPr>
        <w:t xml:space="preserve">Coherencia con el tipo de acumulación, unidad de medida, fórmula de cálculo, periodicidad de cálculo y las metas establecidas para cada año. Si reporta avances cuantitativos con antelación a la periodicidad de cálculo definida, se aceptará el reporte siempre y cuando cumpla con los demás criterios. En la revisión se generan alertas cuando los avances son </w:t>
      </w:r>
      <w:r w:rsidRPr="00F27C7E">
        <w:rPr>
          <w:rFonts w:ascii="Verdana" w:hAnsi="Verdana"/>
        </w:rPr>
        <w:lastRenderedPageBreak/>
        <w:t>inferiores a las metas trimestrales establecidas o significativamente superiores a las metas definidas.</w:t>
      </w:r>
    </w:p>
    <w:p w14:paraId="49997C72" w14:textId="2FADECBD" w:rsidR="00C80DC3" w:rsidRPr="00F27C7E" w:rsidRDefault="00C80DC3" w:rsidP="00C80DC3">
      <w:pPr>
        <w:pStyle w:val="Prrafodelista"/>
        <w:numPr>
          <w:ilvl w:val="0"/>
          <w:numId w:val="39"/>
        </w:numPr>
        <w:spacing w:after="0" w:line="240" w:lineRule="auto"/>
        <w:rPr>
          <w:rFonts w:ascii="Verdana" w:eastAsia="Verdana" w:hAnsi="Verdana" w:cs="Verdana"/>
          <w:b/>
          <w:bCs/>
        </w:rPr>
      </w:pPr>
      <w:r w:rsidRPr="00F27C7E">
        <w:rPr>
          <w:rFonts w:ascii="Verdana" w:hAnsi="Verdana"/>
        </w:rPr>
        <w:t>Coherencia del avance cuantitativo registrado con lo definido y detallado en el avance cualitativo y el tipo de acumulación del indicador.</w:t>
      </w:r>
    </w:p>
    <w:p w14:paraId="2048011A" w14:textId="77777777" w:rsidR="00C80DC3" w:rsidRPr="00F27C7E" w:rsidRDefault="00C80DC3" w:rsidP="68F2A381">
      <w:pPr>
        <w:spacing w:after="0" w:line="240" w:lineRule="auto"/>
        <w:rPr>
          <w:rFonts w:ascii="Verdana" w:eastAsia="Verdana" w:hAnsi="Verdana" w:cs="Verdana"/>
          <w:b/>
          <w:bCs/>
        </w:rPr>
      </w:pPr>
    </w:p>
    <w:p w14:paraId="055EF434" w14:textId="77777777" w:rsidR="00C80DC3" w:rsidRPr="00F27C7E" w:rsidRDefault="00C80DC3" w:rsidP="68F2A381">
      <w:pPr>
        <w:spacing w:after="0" w:line="240" w:lineRule="auto"/>
        <w:rPr>
          <w:rFonts w:ascii="Verdana" w:eastAsia="Verdana" w:hAnsi="Verdana" w:cs="Verdana"/>
          <w:b/>
          <w:bCs/>
        </w:rPr>
      </w:pPr>
    </w:p>
    <w:p w14:paraId="61D7B6F2" w14:textId="25D4DC1F" w:rsidR="006109B6" w:rsidRPr="00F27C7E" w:rsidRDefault="006109B6" w:rsidP="006109B6">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Frente al avance cualitativo </w:t>
      </w:r>
    </w:p>
    <w:p w14:paraId="2B92595A" w14:textId="7E3E5FDE"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Claridad en el detalle de las principales acciones desarrolladas exclusivamente en el periodo de reporte y su relación con el avance cuantitativo presentado y con la meta. </w:t>
      </w:r>
    </w:p>
    <w:p w14:paraId="287A99B4" w14:textId="638EFAC4"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Coherencia del reporte con los elementos definidos en la descripción del indicador, es decir con lo que el indicador mide y la importancia de su medición. </w:t>
      </w:r>
    </w:p>
    <w:p w14:paraId="0267573A" w14:textId="0304D93E"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Información complementaria asociada al avance cuantitativo, por </w:t>
      </w:r>
      <w:proofErr w:type="gramStart"/>
      <w:r w:rsidRPr="00F27C7E">
        <w:rPr>
          <w:rFonts w:ascii="Verdana" w:hAnsi="Verdana"/>
          <w:sz w:val="22"/>
          <w:szCs w:val="22"/>
        </w:rPr>
        <w:t>ejemplo</w:t>
      </w:r>
      <w:proofErr w:type="gramEnd"/>
      <w:r w:rsidRPr="00F27C7E">
        <w:rPr>
          <w:rFonts w:ascii="Verdana" w:hAnsi="Verdana"/>
          <w:sz w:val="22"/>
          <w:szCs w:val="22"/>
        </w:rPr>
        <w:t xml:space="preserve"> desagregación por tamaño de empresa o sector al que pertenecen. </w:t>
      </w:r>
    </w:p>
    <w:p w14:paraId="5189EE76" w14:textId="0F8DBB01"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Calidad en la presentación del avance: lenguaje claro, conciso, que no requiera referencias externas para su entendimiento. </w:t>
      </w:r>
    </w:p>
    <w:p w14:paraId="338E0D05" w14:textId="38670F1E"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Razones por las cuales no se logró lo programado en el periodo reportado y los retrasos que se hayan presentado, en los casos en los que aplique. </w:t>
      </w:r>
    </w:p>
    <w:p w14:paraId="6B9655BA" w14:textId="14A91625"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En caso del no logro del avance programado, es necesario, informar qué acciones o estrategias se tienen previstas para el logro de la meta trazada. </w:t>
      </w:r>
    </w:p>
    <w:p w14:paraId="0163A368" w14:textId="1E32D2FA" w:rsidR="006109B6" w:rsidRPr="00F27C7E" w:rsidRDefault="006109B6" w:rsidP="006109B6">
      <w:pPr>
        <w:pStyle w:val="Default"/>
        <w:numPr>
          <w:ilvl w:val="0"/>
          <w:numId w:val="40"/>
        </w:numPr>
        <w:rPr>
          <w:rFonts w:ascii="Verdana" w:hAnsi="Verdana"/>
          <w:sz w:val="22"/>
          <w:szCs w:val="22"/>
        </w:rPr>
      </w:pPr>
      <w:r w:rsidRPr="00F27C7E">
        <w:rPr>
          <w:rFonts w:ascii="Verdana" w:hAnsi="Verdana"/>
          <w:sz w:val="22"/>
          <w:szCs w:val="22"/>
        </w:rPr>
        <w:t xml:space="preserve">La incorporación de las recomendaciones realizadas en los periodos anteriores por la Oficina de Control Interno y la Oficina Asesora de Planeación Sectorial </w:t>
      </w:r>
    </w:p>
    <w:p w14:paraId="6680705F" w14:textId="77777777" w:rsidR="006109B6" w:rsidRPr="00F27C7E" w:rsidRDefault="006109B6" w:rsidP="006109B6">
      <w:pPr>
        <w:pStyle w:val="Default"/>
        <w:rPr>
          <w:rFonts w:ascii="Verdana" w:hAnsi="Verdana"/>
          <w:sz w:val="22"/>
          <w:szCs w:val="22"/>
        </w:rPr>
      </w:pPr>
    </w:p>
    <w:p w14:paraId="26CB1362" w14:textId="6863D111" w:rsidR="00C80DC3" w:rsidRPr="00F27C7E" w:rsidRDefault="006109B6" w:rsidP="00342FF8">
      <w:pPr>
        <w:spacing w:after="0" w:line="240" w:lineRule="auto"/>
        <w:ind w:left="360"/>
        <w:rPr>
          <w:rFonts w:ascii="Verdana" w:eastAsia="Verdana" w:hAnsi="Verdana" w:cs="Verdana"/>
          <w:b/>
          <w:bCs/>
        </w:rPr>
      </w:pPr>
      <w:r w:rsidRPr="00F27C7E">
        <w:rPr>
          <w:rFonts w:ascii="Verdana" w:hAnsi="Verdana"/>
          <w:i/>
          <w:iCs/>
        </w:rPr>
        <w:t>El reporte debe realizarse todos los meses, independientemente de la periodicidad del indicador definida en la ficha técnica.</w:t>
      </w:r>
    </w:p>
    <w:p w14:paraId="722BEC74" w14:textId="77777777" w:rsidR="00665072" w:rsidRPr="00F27C7E" w:rsidRDefault="00665072" w:rsidP="00665072">
      <w:pPr>
        <w:spacing w:after="0" w:line="240" w:lineRule="auto"/>
        <w:rPr>
          <w:rFonts w:ascii="Verdana" w:hAnsi="Verdana"/>
        </w:rPr>
      </w:pPr>
    </w:p>
    <w:p w14:paraId="1ED47EA3" w14:textId="77777777" w:rsidR="006109B6" w:rsidRPr="00F27C7E" w:rsidRDefault="006109B6" w:rsidP="00665072">
      <w:pPr>
        <w:spacing w:after="0" w:line="240" w:lineRule="auto"/>
        <w:rPr>
          <w:rFonts w:ascii="Verdana" w:hAnsi="Verdana"/>
        </w:rPr>
      </w:pPr>
    </w:p>
    <w:p w14:paraId="7251A236" w14:textId="39DC095B" w:rsidR="006109B6" w:rsidRPr="00F27C7E" w:rsidRDefault="006109B6" w:rsidP="00342FF8">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¿Cuándo debe tener soportes el reporte? </w:t>
      </w:r>
    </w:p>
    <w:p w14:paraId="40C8E130" w14:textId="2A79606E" w:rsidR="006109B6" w:rsidRPr="00F27C7E" w:rsidRDefault="006109B6" w:rsidP="00342FF8">
      <w:pPr>
        <w:pStyle w:val="Default"/>
        <w:numPr>
          <w:ilvl w:val="0"/>
          <w:numId w:val="41"/>
        </w:numPr>
        <w:rPr>
          <w:rFonts w:ascii="Verdana" w:hAnsi="Verdana"/>
          <w:sz w:val="22"/>
          <w:szCs w:val="22"/>
        </w:rPr>
      </w:pPr>
      <w:r w:rsidRPr="00F27C7E">
        <w:rPr>
          <w:rFonts w:ascii="Verdana" w:hAnsi="Verdana"/>
          <w:sz w:val="22"/>
          <w:szCs w:val="22"/>
        </w:rPr>
        <w:t xml:space="preserve">Cuando exista una variación en el avance cuantitativo frente al mes anterior, salvo en el caso de enero, mes en el que siempre se tendrá que adjuntar evidencia si se presenta un avance cuantitativo. Cuando se trate de indicadores de stock, el soporte debe adjuntarse siempre que se reporte un avance cuantitativo. </w:t>
      </w:r>
    </w:p>
    <w:p w14:paraId="7573B3BE" w14:textId="5FAA242D" w:rsidR="006109B6" w:rsidRPr="00F27C7E" w:rsidRDefault="006109B6" w:rsidP="00342FF8">
      <w:pPr>
        <w:pStyle w:val="Default"/>
        <w:numPr>
          <w:ilvl w:val="0"/>
          <w:numId w:val="41"/>
        </w:numPr>
        <w:rPr>
          <w:rFonts w:ascii="Verdana" w:hAnsi="Verdana"/>
          <w:sz w:val="22"/>
          <w:szCs w:val="22"/>
        </w:rPr>
      </w:pPr>
      <w:r w:rsidRPr="00F27C7E">
        <w:rPr>
          <w:rFonts w:ascii="Verdana" w:hAnsi="Verdana"/>
          <w:sz w:val="22"/>
          <w:szCs w:val="22"/>
        </w:rPr>
        <w:t xml:space="preserve">Cuando el indicador se reporte como cumplido para esa vigencia. </w:t>
      </w:r>
    </w:p>
    <w:p w14:paraId="72C380E6" w14:textId="7100472E" w:rsidR="006109B6" w:rsidRPr="00F27C7E" w:rsidRDefault="006109B6" w:rsidP="00342FF8">
      <w:pPr>
        <w:pStyle w:val="Default"/>
        <w:numPr>
          <w:ilvl w:val="0"/>
          <w:numId w:val="41"/>
        </w:numPr>
        <w:rPr>
          <w:rFonts w:ascii="Verdana" w:hAnsi="Verdana"/>
          <w:sz w:val="22"/>
          <w:szCs w:val="22"/>
        </w:rPr>
      </w:pPr>
      <w:r w:rsidRPr="00F27C7E">
        <w:rPr>
          <w:rFonts w:ascii="Verdana" w:hAnsi="Verdana"/>
          <w:sz w:val="22"/>
          <w:szCs w:val="22"/>
        </w:rPr>
        <w:t xml:space="preserve">Al terminar cada vigencia, es decir, en el reporte correspondiente al mes de diciembre. </w:t>
      </w:r>
    </w:p>
    <w:p w14:paraId="5134E194" w14:textId="77777777" w:rsidR="006109B6" w:rsidRPr="00F27C7E" w:rsidRDefault="006109B6" w:rsidP="006109B6">
      <w:pPr>
        <w:pStyle w:val="Default"/>
        <w:rPr>
          <w:rFonts w:ascii="Verdana" w:hAnsi="Verdana"/>
          <w:sz w:val="22"/>
          <w:szCs w:val="22"/>
        </w:rPr>
      </w:pPr>
    </w:p>
    <w:p w14:paraId="74BEC580" w14:textId="4D2B2618" w:rsidR="006109B6" w:rsidRPr="00F27C7E" w:rsidRDefault="006109B6" w:rsidP="00342FF8">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Evidencias o soportes </w:t>
      </w:r>
    </w:p>
    <w:p w14:paraId="55ABBE6D" w14:textId="0A14297A" w:rsidR="006109B6" w:rsidRPr="00F27C7E" w:rsidRDefault="006109B6" w:rsidP="00342FF8">
      <w:pPr>
        <w:pStyle w:val="Default"/>
        <w:numPr>
          <w:ilvl w:val="0"/>
          <w:numId w:val="42"/>
        </w:numPr>
        <w:rPr>
          <w:rFonts w:ascii="Verdana" w:hAnsi="Verdana"/>
          <w:sz w:val="22"/>
          <w:szCs w:val="22"/>
        </w:rPr>
      </w:pPr>
      <w:r w:rsidRPr="00F27C7E">
        <w:rPr>
          <w:rFonts w:ascii="Verdana" w:hAnsi="Verdana"/>
          <w:sz w:val="22"/>
          <w:szCs w:val="22"/>
        </w:rPr>
        <w:t xml:space="preserve">Los documentos establecidos en el campo “descripción de la evidencia” que aparece en la ficha técnica, se solicitarán como un elemento adjunto e indispensable que certifique el avance del indicador. </w:t>
      </w:r>
    </w:p>
    <w:p w14:paraId="38B55069" w14:textId="72885B1D" w:rsidR="006109B6" w:rsidRPr="00F27C7E" w:rsidRDefault="006109B6" w:rsidP="00342FF8">
      <w:pPr>
        <w:pStyle w:val="Default"/>
        <w:numPr>
          <w:ilvl w:val="0"/>
          <w:numId w:val="42"/>
        </w:numPr>
        <w:rPr>
          <w:rFonts w:ascii="Verdana" w:hAnsi="Verdana"/>
          <w:sz w:val="22"/>
          <w:szCs w:val="22"/>
        </w:rPr>
      </w:pPr>
      <w:r w:rsidRPr="00F27C7E">
        <w:rPr>
          <w:rFonts w:ascii="Verdana" w:hAnsi="Verdana"/>
          <w:sz w:val="22"/>
          <w:szCs w:val="22"/>
        </w:rPr>
        <w:t xml:space="preserve">Los documentos o soportes deberán ser consistentes con el período de reporte que se está evaluando, es decir, su ejecución deberá corresponder al mes o período para el que se adjuntan. </w:t>
      </w:r>
    </w:p>
    <w:p w14:paraId="1EDAACCE" w14:textId="7F90FD2B" w:rsidR="006109B6" w:rsidRPr="00F27C7E" w:rsidRDefault="006109B6" w:rsidP="00342FF8">
      <w:pPr>
        <w:pStyle w:val="Default"/>
        <w:numPr>
          <w:ilvl w:val="0"/>
          <w:numId w:val="42"/>
        </w:numPr>
        <w:rPr>
          <w:rFonts w:ascii="Verdana" w:hAnsi="Verdana"/>
          <w:sz w:val="22"/>
          <w:szCs w:val="22"/>
        </w:rPr>
      </w:pPr>
      <w:r w:rsidRPr="00F27C7E">
        <w:rPr>
          <w:rFonts w:ascii="Verdana" w:hAnsi="Verdana"/>
          <w:sz w:val="22"/>
          <w:szCs w:val="22"/>
        </w:rPr>
        <w:t xml:space="preserve">Se requerirá una versión final en el mes diciembre o cuando el indicador se reporte como cumplido por el responsable para cada vigencia, que resuma el comportamiento del </w:t>
      </w:r>
      <w:r w:rsidRPr="00F27C7E">
        <w:rPr>
          <w:rFonts w:ascii="Verdana" w:hAnsi="Verdana"/>
          <w:sz w:val="22"/>
          <w:szCs w:val="22"/>
        </w:rPr>
        <w:lastRenderedPageBreak/>
        <w:t xml:space="preserve">indicador, señalando principales resultados, en caso de que la meta no se haya logrado, el resumen debe informar las acciones que se emprenderán para el cumplimiento en la próxima vigencia. </w:t>
      </w:r>
    </w:p>
    <w:p w14:paraId="2B8FF13D" w14:textId="109956FA" w:rsidR="00342FF8" w:rsidRPr="00F27C7E" w:rsidRDefault="006109B6" w:rsidP="009A3A8D">
      <w:pPr>
        <w:pStyle w:val="Default"/>
        <w:numPr>
          <w:ilvl w:val="0"/>
          <w:numId w:val="42"/>
        </w:numPr>
        <w:rPr>
          <w:rFonts w:ascii="Verdana" w:hAnsi="Verdana"/>
          <w:sz w:val="22"/>
          <w:szCs w:val="22"/>
        </w:rPr>
      </w:pPr>
      <w:r w:rsidRPr="00F27C7E">
        <w:rPr>
          <w:rFonts w:ascii="Verdana" w:hAnsi="Verdana"/>
          <w:sz w:val="22"/>
          <w:szCs w:val="22"/>
        </w:rPr>
        <w:t xml:space="preserve">Se recomienda que los soportes sean legibles, en formatos básicos como </w:t>
      </w:r>
      <w:proofErr w:type="spellStart"/>
      <w:r w:rsidRPr="00F27C7E">
        <w:rPr>
          <w:rFonts w:ascii="Verdana" w:hAnsi="Verdana"/>
          <w:sz w:val="22"/>
          <w:szCs w:val="22"/>
        </w:rPr>
        <w:t>pdf</w:t>
      </w:r>
      <w:proofErr w:type="spellEnd"/>
      <w:r w:rsidRPr="00F27C7E">
        <w:rPr>
          <w:rFonts w:ascii="Verdana" w:hAnsi="Verdana"/>
          <w:sz w:val="22"/>
          <w:szCs w:val="22"/>
        </w:rPr>
        <w:t xml:space="preserve">, </w:t>
      </w:r>
      <w:proofErr w:type="spellStart"/>
      <w:r w:rsidRPr="00F27C7E">
        <w:rPr>
          <w:rFonts w:ascii="Verdana" w:hAnsi="Verdana"/>
          <w:sz w:val="22"/>
          <w:szCs w:val="22"/>
        </w:rPr>
        <w:t>word</w:t>
      </w:r>
      <w:proofErr w:type="spellEnd"/>
      <w:r w:rsidRPr="00F27C7E">
        <w:rPr>
          <w:rFonts w:ascii="Verdana" w:hAnsi="Verdana"/>
          <w:sz w:val="22"/>
          <w:szCs w:val="22"/>
        </w:rPr>
        <w:t xml:space="preserve"> o Excel y, en lo </w:t>
      </w:r>
      <w:r w:rsidR="00342FF8" w:rsidRPr="00F27C7E">
        <w:rPr>
          <w:rFonts w:ascii="Verdana" w:hAnsi="Verdana"/>
          <w:sz w:val="22"/>
          <w:szCs w:val="22"/>
        </w:rPr>
        <w:t xml:space="preserve">posible, que no estén comprimidos. </w:t>
      </w:r>
    </w:p>
    <w:p w14:paraId="4C2675B8" w14:textId="58E55573" w:rsidR="00342FF8" w:rsidRPr="00F27C7E" w:rsidRDefault="00342FF8" w:rsidP="00342FF8">
      <w:pPr>
        <w:pStyle w:val="Default"/>
        <w:numPr>
          <w:ilvl w:val="0"/>
          <w:numId w:val="42"/>
        </w:numPr>
        <w:rPr>
          <w:rFonts w:ascii="Verdana" w:hAnsi="Verdana"/>
          <w:sz w:val="22"/>
          <w:szCs w:val="22"/>
        </w:rPr>
      </w:pPr>
      <w:r w:rsidRPr="00F27C7E">
        <w:rPr>
          <w:rFonts w:ascii="Verdana" w:hAnsi="Verdana"/>
          <w:sz w:val="22"/>
          <w:szCs w:val="22"/>
        </w:rPr>
        <w:t xml:space="preserve">En el caso en el cual la evidencia corresponda a múltiples archivos, correos o pantallazos, se requiere compilarlos todos en un solo documento con su respectiva descripción. </w:t>
      </w:r>
    </w:p>
    <w:p w14:paraId="46241A73" w14:textId="77777777" w:rsidR="006109B6" w:rsidRPr="00F27C7E" w:rsidRDefault="006109B6" w:rsidP="006109B6">
      <w:pPr>
        <w:pStyle w:val="Default"/>
        <w:ind w:hanging="300"/>
        <w:rPr>
          <w:rFonts w:ascii="Verdana" w:hAnsi="Verdana"/>
          <w:sz w:val="22"/>
          <w:szCs w:val="22"/>
        </w:rPr>
      </w:pPr>
    </w:p>
    <w:p w14:paraId="3B200487" w14:textId="3E6E0E88" w:rsidR="00342FF8" w:rsidRPr="00F27C7E" w:rsidRDefault="00342FF8" w:rsidP="00342FF8">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Rezagos de los indicadores </w:t>
      </w:r>
    </w:p>
    <w:p w14:paraId="565A78B2" w14:textId="77777777" w:rsidR="00342FF8" w:rsidRPr="00F27C7E" w:rsidRDefault="00342FF8" w:rsidP="00342FF8">
      <w:pPr>
        <w:pStyle w:val="Default"/>
        <w:ind w:left="360"/>
        <w:jc w:val="both"/>
        <w:rPr>
          <w:rFonts w:ascii="Verdana" w:hAnsi="Verdana"/>
          <w:sz w:val="22"/>
          <w:szCs w:val="22"/>
        </w:rPr>
      </w:pPr>
      <w:r w:rsidRPr="00F27C7E">
        <w:rPr>
          <w:rFonts w:ascii="Verdana" w:hAnsi="Verdana"/>
          <w:sz w:val="22"/>
          <w:szCs w:val="22"/>
        </w:rPr>
        <w:t xml:space="preserve">Los indicadores que hayan definido más de 10 días de rezago en su ficha técnica se aprobarán teniendo en cuenta solo su avance cualitativo. No obstante, el responsable de seguimiento solicitará la actualización del reporte cuantitativo una vez cumplido el periodo de rezago respectivo. Para esto se rechaza el reporte, de tal manera que el responsable del indicador pueda ajustar el avance cuantitativo y adjuntar la evidencia respectiva. </w:t>
      </w:r>
    </w:p>
    <w:p w14:paraId="289AA3E1" w14:textId="77777777" w:rsidR="00342FF8" w:rsidRPr="00F27C7E" w:rsidRDefault="00342FF8" w:rsidP="00342FF8">
      <w:pPr>
        <w:pStyle w:val="Default"/>
        <w:rPr>
          <w:rFonts w:ascii="Verdana" w:hAnsi="Verdana"/>
          <w:sz w:val="22"/>
          <w:szCs w:val="22"/>
        </w:rPr>
      </w:pPr>
    </w:p>
    <w:p w14:paraId="67D533B5" w14:textId="555EAA35" w:rsidR="00342FF8" w:rsidRPr="00F27C7E" w:rsidRDefault="00342FF8" w:rsidP="00342FF8">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Principales situaciones por la cuales se rechaza un reporte </w:t>
      </w:r>
    </w:p>
    <w:p w14:paraId="792D87EF" w14:textId="77777777" w:rsidR="00342FF8" w:rsidRPr="00F27C7E" w:rsidRDefault="00342FF8" w:rsidP="00342FF8">
      <w:pPr>
        <w:pStyle w:val="Default"/>
        <w:ind w:left="360"/>
        <w:jc w:val="both"/>
        <w:rPr>
          <w:rFonts w:ascii="Verdana" w:hAnsi="Verdana"/>
          <w:sz w:val="22"/>
          <w:szCs w:val="22"/>
        </w:rPr>
      </w:pPr>
      <w:r w:rsidRPr="00F27C7E">
        <w:rPr>
          <w:rFonts w:ascii="Verdana" w:hAnsi="Verdana"/>
          <w:sz w:val="22"/>
          <w:szCs w:val="22"/>
        </w:rPr>
        <w:t xml:space="preserve">En caso de que la información reportada no sea coherente o presente inconsistencias, ya sea en el avance o los soportes, la OAPS rechaza el reporte de avance en la plataforma, señalando la situación que ocasiona la no validación del reporte, con el fin de que sea atendida con la mayor brevedad. </w:t>
      </w:r>
    </w:p>
    <w:p w14:paraId="2BB4A18D" w14:textId="77777777" w:rsidR="00342FF8" w:rsidRPr="00F27C7E" w:rsidRDefault="00342FF8" w:rsidP="00342FF8">
      <w:pPr>
        <w:pStyle w:val="Default"/>
        <w:ind w:left="360"/>
        <w:jc w:val="both"/>
        <w:rPr>
          <w:rFonts w:ascii="Verdana" w:hAnsi="Verdana"/>
          <w:sz w:val="22"/>
          <w:szCs w:val="22"/>
        </w:rPr>
      </w:pPr>
    </w:p>
    <w:p w14:paraId="62C4CC37" w14:textId="51B139D5" w:rsidR="00342FF8" w:rsidRPr="00F27C7E" w:rsidRDefault="00342FF8" w:rsidP="00342FF8">
      <w:pPr>
        <w:pStyle w:val="Default"/>
        <w:numPr>
          <w:ilvl w:val="0"/>
          <w:numId w:val="43"/>
        </w:numPr>
        <w:jc w:val="both"/>
        <w:rPr>
          <w:rFonts w:ascii="Verdana" w:hAnsi="Verdana"/>
          <w:sz w:val="22"/>
          <w:szCs w:val="22"/>
        </w:rPr>
      </w:pPr>
      <w:r w:rsidRPr="00F27C7E">
        <w:rPr>
          <w:rFonts w:ascii="Verdana" w:hAnsi="Verdana"/>
          <w:sz w:val="22"/>
          <w:szCs w:val="22"/>
        </w:rPr>
        <w:t xml:space="preserve">El avance cuantitativo reportado no tiene en cuenta el tipo de acumulación del indicador. </w:t>
      </w:r>
    </w:p>
    <w:p w14:paraId="32DB4581" w14:textId="20533938" w:rsidR="00342FF8" w:rsidRPr="00F27C7E" w:rsidRDefault="00342FF8" w:rsidP="00342FF8">
      <w:pPr>
        <w:pStyle w:val="Default"/>
        <w:numPr>
          <w:ilvl w:val="0"/>
          <w:numId w:val="43"/>
        </w:numPr>
        <w:jc w:val="both"/>
        <w:rPr>
          <w:rFonts w:ascii="Verdana" w:hAnsi="Verdana"/>
          <w:sz w:val="22"/>
          <w:szCs w:val="22"/>
        </w:rPr>
      </w:pPr>
      <w:r w:rsidRPr="00F27C7E">
        <w:rPr>
          <w:rFonts w:ascii="Verdana" w:hAnsi="Verdana"/>
          <w:sz w:val="22"/>
          <w:szCs w:val="22"/>
        </w:rPr>
        <w:t xml:space="preserve">Soportes que no tienen una clara relación con el avance registrado </w:t>
      </w:r>
    </w:p>
    <w:p w14:paraId="21063271" w14:textId="6E41B3B9" w:rsidR="00342FF8" w:rsidRPr="00F27C7E" w:rsidRDefault="00342FF8" w:rsidP="00342FF8">
      <w:pPr>
        <w:pStyle w:val="Default"/>
        <w:numPr>
          <w:ilvl w:val="0"/>
          <w:numId w:val="43"/>
        </w:numPr>
        <w:jc w:val="both"/>
        <w:rPr>
          <w:rFonts w:ascii="Verdana" w:hAnsi="Verdana"/>
          <w:sz w:val="22"/>
          <w:szCs w:val="22"/>
        </w:rPr>
      </w:pPr>
      <w:r w:rsidRPr="00F27C7E">
        <w:rPr>
          <w:rFonts w:ascii="Verdana" w:hAnsi="Verdana"/>
          <w:sz w:val="22"/>
          <w:szCs w:val="22"/>
        </w:rPr>
        <w:t xml:space="preserve">El reporte cualitativo describe la gestión realizada en un mes o periodo anterior al corte reportado </w:t>
      </w:r>
    </w:p>
    <w:p w14:paraId="05C9E4F5" w14:textId="23317872" w:rsidR="00342FF8" w:rsidRPr="00F27C7E" w:rsidRDefault="00342FF8" w:rsidP="00342FF8">
      <w:pPr>
        <w:pStyle w:val="Default"/>
        <w:numPr>
          <w:ilvl w:val="0"/>
          <w:numId w:val="43"/>
        </w:numPr>
        <w:jc w:val="both"/>
        <w:rPr>
          <w:rFonts w:ascii="Verdana" w:hAnsi="Verdana"/>
          <w:sz w:val="22"/>
          <w:szCs w:val="22"/>
        </w:rPr>
      </w:pPr>
      <w:r w:rsidRPr="00F27C7E">
        <w:rPr>
          <w:rFonts w:ascii="Verdana" w:hAnsi="Verdana"/>
          <w:sz w:val="22"/>
          <w:szCs w:val="22"/>
        </w:rPr>
        <w:t xml:space="preserve">No considerar las recomendaciones registradas por la OCI y la OAPS en periodos anteriores. </w:t>
      </w:r>
    </w:p>
    <w:p w14:paraId="2D613E8E" w14:textId="77777777" w:rsidR="00342FF8" w:rsidRPr="00F27C7E" w:rsidRDefault="00342FF8" w:rsidP="00342FF8">
      <w:pPr>
        <w:pStyle w:val="Default"/>
        <w:rPr>
          <w:rFonts w:ascii="Verdana" w:hAnsi="Verdana"/>
          <w:sz w:val="22"/>
          <w:szCs w:val="22"/>
        </w:rPr>
      </w:pPr>
    </w:p>
    <w:p w14:paraId="06A9A63B" w14:textId="628C268E" w:rsidR="00342FF8" w:rsidRPr="00F27C7E" w:rsidRDefault="00342FF8" w:rsidP="00342FF8">
      <w:pPr>
        <w:pStyle w:val="Prrafodelista"/>
        <w:numPr>
          <w:ilvl w:val="0"/>
          <w:numId w:val="38"/>
        </w:numPr>
        <w:tabs>
          <w:tab w:val="left" w:pos="5387"/>
        </w:tabs>
        <w:spacing w:after="0" w:line="240" w:lineRule="auto"/>
        <w:rPr>
          <w:rFonts w:ascii="Verdana" w:hAnsi="Verdana"/>
          <w:b/>
          <w:i/>
        </w:rPr>
      </w:pPr>
      <w:r w:rsidRPr="00F27C7E">
        <w:rPr>
          <w:rFonts w:ascii="Verdana" w:hAnsi="Verdana"/>
          <w:b/>
          <w:i/>
        </w:rPr>
        <w:t xml:space="preserve">Indicadores ejecutados a través de los patrimonios autónomos </w:t>
      </w:r>
    </w:p>
    <w:p w14:paraId="355AD457" w14:textId="77777777" w:rsidR="00342FF8" w:rsidRPr="00F27C7E" w:rsidRDefault="00342FF8" w:rsidP="00342FF8">
      <w:pPr>
        <w:pStyle w:val="Default"/>
        <w:ind w:left="360"/>
        <w:jc w:val="both"/>
        <w:rPr>
          <w:rFonts w:ascii="Verdana" w:hAnsi="Verdana"/>
          <w:sz w:val="22"/>
          <w:szCs w:val="22"/>
        </w:rPr>
      </w:pPr>
      <w:r w:rsidRPr="00F27C7E">
        <w:rPr>
          <w:rFonts w:ascii="Verdana" w:hAnsi="Verdana"/>
          <w:sz w:val="22"/>
          <w:szCs w:val="22"/>
        </w:rPr>
        <w:t xml:space="preserve">Los indicadores que son ejecutados a través de los patrimonios autónomos serán reportados en la plataforma por los responsables del tema en los Viceministerios, empleando como insumo un </w:t>
      </w:r>
      <w:r w:rsidRPr="00F27C7E">
        <w:rPr>
          <w:rFonts w:ascii="Verdana" w:hAnsi="Verdana"/>
          <w:b/>
          <w:bCs/>
          <w:sz w:val="22"/>
          <w:szCs w:val="22"/>
        </w:rPr>
        <w:t xml:space="preserve">formato de avance </w:t>
      </w:r>
      <w:r w:rsidRPr="00F27C7E">
        <w:rPr>
          <w:rFonts w:ascii="Verdana" w:hAnsi="Verdana"/>
          <w:sz w:val="22"/>
          <w:szCs w:val="22"/>
        </w:rPr>
        <w:t xml:space="preserve">que remitirán los patrimonios y validarán las direcciones técnicas, previo registro en la plataforma. </w:t>
      </w:r>
    </w:p>
    <w:p w14:paraId="3C63B909" w14:textId="77777777" w:rsidR="00342FF8" w:rsidRPr="00F27C7E" w:rsidRDefault="00342FF8" w:rsidP="00342FF8">
      <w:pPr>
        <w:pStyle w:val="Default"/>
        <w:ind w:left="360"/>
        <w:jc w:val="both"/>
        <w:rPr>
          <w:rFonts w:ascii="Verdana" w:hAnsi="Verdana"/>
          <w:sz w:val="22"/>
          <w:szCs w:val="22"/>
        </w:rPr>
      </w:pPr>
    </w:p>
    <w:p w14:paraId="7890DC34" w14:textId="77777777" w:rsidR="00342FF8" w:rsidRPr="00F27C7E" w:rsidRDefault="00342FF8" w:rsidP="00342FF8">
      <w:pPr>
        <w:pStyle w:val="Default"/>
        <w:ind w:left="360"/>
        <w:jc w:val="both"/>
        <w:rPr>
          <w:rFonts w:ascii="Verdana" w:hAnsi="Verdana"/>
          <w:sz w:val="22"/>
          <w:szCs w:val="22"/>
        </w:rPr>
      </w:pPr>
      <w:r w:rsidRPr="00F27C7E">
        <w:rPr>
          <w:rFonts w:ascii="Verdana" w:hAnsi="Verdana"/>
          <w:sz w:val="22"/>
          <w:szCs w:val="22"/>
        </w:rPr>
        <w:t xml:space="preserve">Los responsables del reporte de la información en la plataforma deberán garantizar la veracidad, coherencia y oportunidad de los datos e información reportada. </w:t>
      </w:r>
    </w:p>
    <w:p w14:paraId="35B002AF" w14:textId="77777777" w:rsidR="00342FF8" w:rsidRDefault="00342FF8" w:rsidP="00342FF8">
      <w:pPr>
        <w:pStyle w:val="Default"/>
        <w:rPr>
          <w:rFonts w:ascii="Verdana" w:hAnsi="Verdana"/>
          <w:b/>
          <w:bCs/>
          <w:sz w:val="22"/>
          <w:szCs w:val="22"/>
        </w:rPr>
      </w:pPr>
    </w:p>
    <w:p w14:paraId="3139F701" w14:textId="77777777" w:rsidR="00F27C7E" w:rsidRDefault="00F27C7E" w:rsidP="00342FF8">
      <w:pPr>
        <w:pStyle w:val="Default"/>
        <w:rPr>
          <w:rFonts w:ascii="Verdana" w:hAnsi="Verdana"/>
          <w:b/>
          <w:bCs/>
          <w:sz w:val="22"/>
          <w:szCs w:val="22"/>
        </w:rPr>
      </w:pPr>
    </w:p>
    <w:p w14:paraId="17C5BF7A" w14:textId="77777777" w:rsidR="00F27C7E" w:rsidRPr="00F27C7E" w:rsidRDefault="00F27C7E" w:rsidP="00342FF8">
      <w:pPr>
        <w:pStyle w:val="Default"/>
        <w:rPr>
          <w:rFonts w:ascii="Verdana" w:hAnsi="Verdana"/>
          <w:b/>
          <w:bCs/>
          <w:sz w:val="22"/>
          <w:szCs w:val="22"/>
        </w:rPr>
      </w:pPr>
    </w:p>
    <w:p w14:paraId="685CA57C" w14:textId="127E0D97" w:rsidR="00342FF8" w:rsidRPr="00F27C7E" w:rsidRDefault="00342FF8" w:rsidP="00342FF8">
      <w:pPr>
        <w:pStyle w:val="Prrafodelista"/>
        <w:numPr>
          <w:ilvl w:val="0"/>
          <w:numId w:val="38"/>
        </w:numPr>
        <w:tabs>
          <w:tab w:val="left" w:pos="5387"/>
        </w:tabs>
        <w:spacing w:after="0" w:line="240" w:lineRule="auto"/>
        <w:rPr>
          <w:rFonts w:ascii="Verdana" w:hAnsi="Verdana"/>
          <w:b/>
        </w:rPr>
      </w:pPr>
      <w:r w:rsidRPr="00F27C7E">
        <w:rPr>
          <w:rFonts w:ascii="Verdana" w:hAnsi="Verdana"/>
          <w:b/>
          <w:i/>
        </w:rPr>
        <w:t xml:space="preserve">Valoración del avance de los indicadores </w:t>
      </w:r>
    </w:p>
    <w:p w14:paraId="454563C8" w14:textId="77777777" w:rsidR="00342FF8" w:rsidRPr="00F27C7E" w:rsidRDefault="00342FF8" w:rsidP="00342FF8">
      <w:pPr>
        <w:pStyle w:val="Default"/>
        <w:ind w:left="360"/>
        <w:rPr>
          <w:rFonts w:ascii="Verdana" w:hAnsi="Verdana"/>
          <w:sz w:val="22"/>
          <w:szCs w:val="22"/>
        </w:rPr>
      </w:pPr>
      <w:r w:rsidRPr="00F27C7E">
        <w:rPr>
          <w:rFonts w:ascii="Verdana" w:hAnsi="Verdana"/>
          <w:sz w:val="22"/>
          <w:szCs w:val="22"/>
        </w:rPr>
        <w:t xml:space="preserve">Un indicador se entenderá cumplido cuando su avance se encuentre entre el 90% y el 110% de la meta programada. </w:t>
      </w:r>
    </w:p>
    <w:p w14:paraId="08DC0205" w14:textId="77777777" w:rsidR="00342FF8" w:rsidRPr="00F27C7E" w:rsidRDefault="00342FF8" w:rsidP="00342FF8">
      <w:pPr>
        <w:pStyle w:val="Default"/>
        <w:ind w:left="360"/>
        <w:rPr>
          <w:rFonts w:ascii="Verdana" w:hAnsi="Verdana"/>
          <w:sz w:val="22"/>
          <w:szCs w:val="22"/>
        </w:rPr>
      </w:pPr>
    </w:p>
    <w:p w14:paraId="7B463B13" w14:textId="73EF97CA" w:rsidR="00342FF8" w:rsidRPr="00F27C7E" w:rsidRDefault="00342FF8" w:rsidP="00342FF8">
      <w:pPr>
        <w:pStyle w:val="Default"/>
        <w:ind w:left="360"/>
        <w:rPr>
          <w:rFonts w:ascii="Verdana" w:hAnsi="Verdana"/>
          <w:sz w:val="22"/>
          <w:szCs w:val="22"/>
        </w:rPr>
      </w:pPr>
      <w:r w:rsidRPr="00F27C7E">
        <w:rPr>
          <w:rFonts w:ascii="Verdana" w:hAnsi="Verdana"/>
          <w:sz w:val="22"/>
          <w:szCs w:val="22"/>
        </w:rPr>
        <w:lastRenderedPageBreak/>
        <w:t>Una vez calculado el resultado del indicador, éste será clasificado según las siguientes categorías:</w:t>
      </w:r>
    </w:p>
    <w:p w14:paraId="1C5A9554" w14:textId="77777777" w:rsidR="000955AD" w:rsidRPr="00F27C7E" w:rsidRDefault="000955AD" w:rsidP="00342FF8">
      <w:pPr>
        <w:pStyle w:val="Default"/>
        <w:ind w:left="360"/>
        <w:rPr>
          <w:rFonts w:ascii="Verdana" w:hAnsi="Verdana"/>
          <w:sz w:val="22"/>
          <w:szCs w:val="22"/>
        </w:rPr>
      </w:pPr>
    </w:p>
    <w:tbl>
      <w:tblPr>
        <w:tblStyle w:val="Tablaconcuadrcula"/>
        <w:tblW w:w="0" w:type="auto"/>
        <w:tblInd w:w="2405" w:type="dxa"/>
        <w:tblLook w:val="04A0" w:firstRow="1" w:lastRow="0" w:firstColumn="1" w:lastColumn="0" w:noHBand="0" w:noVBand="1"/>
      </w:tblPr>
      <w:tblGrid>
        <w:gridCol w:w="4111"/>
        <w:gridCol w:w="2835"/>
      </w:tblGrid>
      <w:tr w:rsidR="00DF19E5" w:rsidRPr="00F27C7E" w14:paraId="4A6EB7A8" w14:textId="77777777" w:rsidTr="00DF19E5">
        <w:tc>
          <w:tcPr>
            <w:tcW w:w="4111" w:type="dxa"/>
          </w:tcPr>
          <w:p w14:paraId="5C81E867" w14:textId="7F4EF9C8" w:rsidR="00DF19E5" w:rsidRPr="00F27C7E" w:rsidRDefault="00F27C7E" w:rsidP="00F27C7E">
            <w:pPr>
              <w:pStyle w:val="Default"/>
              <w:jc w:val="center"/>
              <w:rPr>
                <w:rFonts w:ascii="Verdana" w:hAnsi="Verdana"/>
                <w:b/>
                <w:sz w:val="22"/>
                <w:szCs w:val="22"/>
              </w:rPr>
            </w:pPr>
            <w:r w:rsidRPr="00F27C7E">
              <w:rPr>
                <w:rFonts w:ascii="Verdana" w:hAnsi="Verdana"/>
                <w:b/>
                <w:sz w:val="22"/>
                <w:szCs w:val="22"/>
              </w:rPr>
              <w:t>Categoría</w:t>
            </w:r>
          </w:p>
        </w:tc>
        <w:tc>
          <w:tcPr>
            <w:tcW w:w="2835" w:type="dxa"/>
          </w:tcPr>
          <w:p w14:paraId="7EBD979F" w14:textId="281ED0D6" w:rsidR="00DF19E5" w:rsidRPr="00F27C7E" w:rsidRDefault="00F27C7E" w:rsidP="00F27C7E">
            <w:pPr>
              <w:pStyle w:val="Default"/>
              <w:jc w:val="center"/>
              <w:rPr>
                <w:rFonts w:ascii="Verdana" w:hAnsi="Verdana"/>
                <w:b/>
                <w:sz w:val="22"/>
                <w:szCs w:val="22"/>
              </w:rPr>
            </w:pPr>
            <w:r w:rsidRPr="00F27C7E">
              <w:rPr>
                <w:rFonts w:ascii="Verdana" w:hAnsi="Verdana"/>
                <w:b/>
                <w:sz w:val="22"/>
                <w:szCs w:val="22"/>
              </w:rPr>
              <w:t>Avance</w:t>
            </w:r>
          </w:p>
        </w:tc>
      </w:tr>
      <w:tr w:rsidR="00F27C7E" w:rsidRPr="00F27C7E" w14:paraId="79775FD5" w14:textId="77777777" w:rsidTr="00F27C7E">
        <w:trPr>
          <w:trHeight w:val="198"/>
        </w:trPr>
        <w:tc>
          <w:tcPr>
            <w:tcW w:w="4111" w:type="dxa"/>
          </w:tcPr>
          <w:p w14:paraId="14887C7A" w14:textId="65A27891" w:rsidR="00F27C7E" w:rsidRPr="00F27C7E" w:rsidRDefault="00F27C7E" w:rsidP="00F27C7E">
            <w:pPr>
              <w:pStyle w:val="Default"/>
              <w:rPr>
                <w:rFonts w:ascii="Verdana" w:hAnsi="Verdana"/>
                <w:sz w:val="22"/>
                <w:szCs w:val="22"/>
              </w:rPr>
            </w:pPr>
            <w:r w:rsidRPr="00F27C7E">
              <w:rPr>
                <w:rFonts w:ascii="Verdana" w:hAnsi="Verdana"/>
                <w:sz w:val="22"/>
                <w:szCs w:val="22"/>
              </w:rPr>
              <w:t xml:space="preserve">1. Avance deficiente </w:t>
            </w:r>
          </w:p>
        </w:tc>
        <w:tc>
          <w:tcPr>
            <w:tcW w:w="2835" w:type="dxa"/>
          </w:tcPr>
          <w:p w14:paraId="531C22FF" w14:textId="71461632" w:rsidR="00F27C7E" w:rsidRPr="00F27C7E" w:rsidRDefault="00F27C7E" w:rsidP="00F27C7E">
            <w:pPr>
              <w:pStyle w:val="Default"/>
              <w:jc w:val="center"/>
              <w:rPr>
                <w:rFonts w:ascii="Verdana" w:hAnsi="Verdana"/>
                <w:sz w:val="22"/>
                <w:szCs w:val="22"/>
              </w:rPr>
            </w:pPr>
            <w:r w:rsidRPr="00F27C7E">
              <w:rPr>
                <w:rFonts w:ascii="Verdana" w:hAnsi="Verdana"/>
                <w:sz w:val="22"/>
                <w:szCs w:val="22"/>
              </w:rPr>
              <w:t>0% &lt; 90%</w:t>
            </w:r>
          </w:p>
        </w:tc>
      </w:tr>
      <w:tr w:rsidR="00F27C7E" w:rsidRPr="00F27C7E" w14:paraId="26EB2344" w14:textId="77777777" w:rsidTr="00DF19E5">
        <w:tc>
          <w:tcPr>
            <w:tcW w:w="4111" w:type="dxa"/>
          </w:tcPr>
          <w:p w14:paraId="73A46E5B" w14:textId="24F83FEC" w:rsidR="00F27C7E" w:rsidRPr="00F27C7E" w:rsidRDefault="00F27C7E" w:rsidP="00F27C7E">
            <w:pPr>
              <w:pStyle w:val="Default"/>
              <w:rPr>
                <w:rFonts w:ascii="Verdana" w:hAnsi="Verdana"/>
                <w:sz w:val="22"/>
                <w:szCs w:val="22"/>
              </w:rPr>
            </w:pPr>
            <w:r w:rsidRPr="00F27C7E">
              <w:rPr>
                <w:rFonts w:ascii="Verdana" w:hAnsi="Verdana"/>
                <w:sz w:val="22"/>
                <w:szCs w:val="22"/>
              </w:rPr>
              <w:t xml:space="preserve">2. Avance satisfactorio </w:t>
            </w:r>
          </w:p>
        </w:tc>
        <w:tc>
          <w:tcPr>
            <w:tcW w:w="2835" w:type="dxa"/>
          </w:tcPr>
          <w:p w14:paraId="062A7C31" w14:textId="28CE5EB2" w:rsidR="00F27C7E" w:rsidRPr="00F27C7E" w:rsidRDefault="00F27C7E" w:rsidP="00F27C7E">
            <w:pPr>
              <w:pStyle w:val="Default"/>
              <w:jc w:val="center"/>
              <w:rPr>
                <w:rFonts w:ascii="Verdana" w:hAnsi="Verdana"/>
                <w:sz w:val="22"/>
                <w:szCs w:val="22"/>
              </w:rPr>
            </w:pPr>
            <w:r w:rsidRPr="00F27C7E">
              <w:rPr>
                <w:rFonts w:ascii="Verdana" w:hAnsi="Verdana"/>
                <w:sz w:val="22"/>
                <w:szCs w:val="22"/>
              </w:rPr>
              <w:t>90% - 110%</w:t>
            </w:r>
          </w:p>
        </w:tc>
      </w:tr>
      <w:tr w:rsidR="00F27C7E" w:rsidRPr="00F27C7E" w14:paraId="562B486E" w14:textId="77777777" w:rsidTr="00DF19E5">
        <w:tc>
          <w:tcPr>
            <w:tcW w:w="4111" w:type="dxa"/>
          </w:tcPr>
          <w:p w14:paraId="25B4BBC6" w14:textId="62B91421" w:rsidR="00F27C7E" w:rsidRPr="00F27C7E" w:rsidRDefault="00F27C7E" w:rsidP="00F27C7E">
            <w:pPr>
              <w:pStyle w:val="Default"/>
              <w:rPr>
                <w:rFonts w:ascii="Verdana" w:hAnsi="Verdana"/>
                <w:sz w:val="22"/>
                <w:szCs w:val="22"/>
              </w:rPr>
            </w:pPr>
            <w:r w:rsidRPr="00F27C7E">
              <w:rPr>
                <w:rFonts w:ascii="Verdana" w:hAnsi="Verdana"/>
                <w:sz w:val="22"/>
                <w:szCs w:val="22"/>
              </w:rPr>
              <w:t xml:space="preserve">3. Súpero la meta del período </w:t>
            </w:r>
          </w:p>
        </w:tc>
        <w:tc>
          <w:tcPr>
            <w:tcW w:w="2835" w:type="dxa"/>
          </w:tcPr>
          <w:p w14:paraId="21946D21" w14:textId="1013A71D" w:rsidR="00F27C7E" w:rsidRPr="00F27C7E" w:rsidRDefault="00F27C7E" w:rsidP="00F27C7E">
            <w:pPr>
              <w:pStyle w:val="Default"/>
              <w:jc w:val="center"/>
              <w:rPr>
                <w:rFonts w:ascii="Verdana" w:hAnsi="Verdana"/>
                <w:sz w:val="22"/>
                <w:szCs w:val="22"/>
              </w:rPr>
            </w:pPr>
            <w:r w:rsidRPr="00F27C7E">
              <w:rPr>
                <w:rFonts w:ascii="Verdana" w:hAnsi="Verdana"/>
                <w:sz w:val="22"/>
                <w:szCs w:val="22"/>
              </w:rPr>
              <w:t>&gt; 110%</w:t>
            </w:r>
          </w:p>
        </w:tc>
      </w:tr>
    </w:tbl>
    <w:p w14:paraId="5A1F8BBC" w14:textId="77777777" w:rsidR="000955AD" w:rsidRPr="00F27C7E" w:rsidRDefault="000955AD" w:rsidP="00342FF8">
      <w:pPr>
        <w:pStyle w:val="Default"/>
        <w:ind w:left="360"/>
        <w:rPr>
          <w:rFonts w:ascii="Verdana" w:hAnsi="Verdana"/>
          <w:sz w:val="22"/>
          <w:szCs w:val="22"/>
        </w:rPr>
      </w:pPr>
    </w:p>
    <w:p w14:paraId="590B076F" w14:textId="4F8DC368" w:rsidR="006109B6" w:rsidRPr="00F27C7E" w:rsidRDefault="00342FF8" w:rsidP="00F27C7E">
      <w:pPr>
        <w:spacing w:after="0" w:line="240" w:lineRule="auto"/>
        <w:ind w:left="360"/>
        <w:rPr>
          <w:rFonts w:ascii="Verdana" w:hAnsi="Verdana"/>
        </w:rPr>
      </w:pPr>
      <w:r w:rsidRPr="00F27C7E">
        <w:rPr>
          <w:rFonts w:ascii="Verdana" w:hAnsi="Verdana"/>
        </w:rPr>
        <w:t>De acuerdo con lo anterior, para aquellos indicadores en los que se registre un avance mayor al 110%, se considera cumplimiento, pero no es un avance satisfactorio por cuanto se superó la meta en un porcentaje superior al del nivel de tolerancia.</w:t>
      </w:r>
    </w:p>
    <w:p w14:paraId="17290D76" w14:textId="77777777" w:rsidR="006109B6" w:rsidRDefault="006109B6" w:rsidP="00665072">
      <w:pPr>
        <w:spacing w:after="0" w:line="240" w:lineRule="auto"/>
        <w:rPr>
          <w:rFonts w:ascii="Verdana" w:hAnsi="Verdana"/>
        </w:rPr>
      </w:pPr>
    </w:p>
    <w:p w14:paraId="184F6432" w14:textId="77777777" w:rsidR="00F27C7E" w:rsidRDefault="00F27C7E" w:rsidP="00665072">
      <w:pPr>
        <w:spacing w:after="0" w:line="240" w:lineRule="auto"/>
        <w:rPr>
          <w:rFonts w:ascii="Verdana" w:hAnsi="Verdana"/>
        </w:rPr>
      </w:pPr>
    </w:p>
    <w:p w14:paraId="38C38078" w14:textId="77777777" w:rsidR="00F27C7E" w:rsidRDefault="00F27C7E" w:rsidP="00665072">
      <w:pPr>
        <w:spacing w:after="0" w:line="240" w:lineRule="auto"/>
        <w:rPr>
          <w:rFonts w:ascii="Verdana" w:hAnsi="Verdana"/>
        </w:rPr>
      </w:pPr>
    </w:p>
    <w:p w14:paraId="3F245F2C" w14:textId="77777777" w:rsidR="00F27C7E" w:rsidRDefault="00F27C7E" w:rsidP="00665072">
      <w:pPr>
        <w:spacing w:after="0" w:line="240" w:lineRule="auto"/>
        <w:rPr>
          <w:rFonts w:ascii="Verdana" w:hAnsi="Verdana"/>
        </w:rPr>
      </w:pPr>
    </w:p>
    <w:p w14:paraId="7164042E" w14:textId="77777777" w:rsidR="00F27C7E" w:rsidRDefault="00F27C7E" w:rsidP="00665072">
      <w:pPr>
        <w:spacing w:after="0" w:line="240" w:lineRule="auto"/>
        <w:rPr>
          <w:rFonts w:ascii="Verdana" w:hAnsi="Verdana"/>
        </w:rPr>
      </w:pPr>
    </w:p>
    <w:p w14:paraId="250159D0" w14:textId="77777777" w:rsidR="00F27C7E" w:rsidRDefault="00F27C7E" w:rsidP="00665072">
      <w:pPr>
        <w:spacing w:after="0" w:line="240" w:lineRule="auto"/>
        <w:rPr>
          <w:rFonts w:ascii="Verdana" w:hAnsi="Verdana"/>
        </w:rPr>
      </w:pPr>
    </w:p>
    <w:p w14:paraId="3FDF5934" w14:textId="77777777" w:rsidR="00F27C7E" w:rsidRDefault="00F27C7E" w:rsidP="00665072">
      <w:pPr>
        <w:spacing w:after="0" w:line="240" w:lineRule="auto"/>
        <w:rPr>
          <w:rFonts w:ascii="Verdana" w:hAnsi="Verdana"/>
        </w:rPr>
      </w:pPr>
    </w:p>
    <w:p w14:paraId="766DF528" w14:textId="77777777" w:rsidR="00F27C7E" w:rsidRDefault="00F27C7E" w:rsidP="00665072">
      <w:pPr>
        <w:spacing w:after="0" w:line="240" w:lineRule="auto"/>
        <w:rPr>
          <w:rFonts w:ascii="Verdana" w:hAnsi="Verdana"/>
        </w:rPr>
      </w:pPr>
    </w:p>
    <w:p w14:paraId="7362F47E" w14:textId="77777777" w:rsidR="00F27C7E" w:rsidRDefault="00F27C7E" w:rsidP="00665072">
      <w:pPr>
        <w:spacing w:after="0" w:line="240" w:lineRule="auto"/>
        <w:rPr>
          <w:rFonts w:ascii="Verdana" w:hAnsi="Verdana"/>
        </w:rPr>
      </w:pPr>
    </w:p>
    <w:p w14:paraId="364A7472" w14:textId="77777777" w:rsidR="00F27C7E" w:rsidRDefault="00F27C7E" w:rsidP="00665072">
      <w:pPr>
        <w:spacing w:after="0" w:line="240" w:lineRule="auto"/>
        <w:rPr>
          <w:rFonts w:ascii="Verdana" w:hAnsi="Verdana"/>
        </w:rPr>
      </w:pPr>
    </w:p>
    <w:p w14:paraId="6161F7D4" w14:textId="77777777" w:rsidR="00F27C7E" w:rsidRDefault="00F27C7E" w:rsidP="00665072">
      <w:pPr>
        <w:spacing w:after="0" w:line="240" w:lineRule="auto"/>
        <w:rPr>
          <w:rFonts w:ascii="Verdana" w:hAnsi="Verdana"/>
        </w:rPr>
      </w:pPr>
    </w:p>
    <w:p w14:paraId="066D659F" w14:textId="77777777" w:rsidR="00F27C7E" w:rsidRDefault="00F27C7E" w:rsidP="00665072">
      <w:pPr>
        <w:spacing w:after="0" w:line="240" w:lineRule="auto"/>
        <w:rPr>
          <w:rFonts w:ascii="Verdana" w:hAnsi="Verdana"/>
        </w:rPr>
      </w:pPr>
    </w:p>
    <w:p w14:paraId="2DE043ED" w14:textId="77777777" w:rsidR="00F27C7E" w:rsidRDefault="00F27C7E" w:rsidP="00665072">
      <w:pPr>
        <w:spacing w:after="0" w:line="240" w:lineRule="auto"/>
        <w:rPr>
          <w:rFonts w:ascii="Verdana" w:hAnsi="Verdana"/>
        </w:rPr>
      </w:pPr>
    </w:p>
    <w:p w14:paraId="0F9AB9A9" w14:textId="77777777" w:rsidR="00F27C7E" w:rsidRDefault="00F27C7E" w:rsidP="00665072">
      <w:pPr>
        <w:spacing w:after="0" w:line="240" w:lineRule="auto"/>
        <w:rPr>
          <w:rFonts w:ascii="Verdana" w:hAnsi="Verdana"/>
        </w:rPr>
      </w:pPr>
    </w:p>
    <w:p w14:paraId="3DD144B6" w14:textId="77777777" w:rsidR="00F27C7E" w:rsidRDefault="00F27C7E" w:rsidP="00665072">
      <w:pPr>
        <w:spacing w:after="0" w:line="240" w:lineRule="auto"/>
        <w:rPr>
          <w:rFonts w:ascii="Verdana" w:hAnsi="Verdana"/>
        </w:rPr>
      </w:pPr>
    </w:p>
    <w:p w14:paraId="2045DC6D" w14:textId="77777777" w:rsidR="00F27C7E" w:rsidRDefault="00F27C7E" w:rsidP="00665072">
      <w:pPr>
        <w:spacing w:after="0" w:line="240" w:lineRule="auto"/>
        <w:rPr>
          <w:rFonts w:ascii="Verdana" w:hAnsi="Verdana"/>
        </w:rPr>
      </w:pPr>
    </w:p>
    <w:p w14:paraId="33260110" w14:textId="77777777" w:rsidR="00F27C7E" w:rsidRDefault="00F27C7E" w:rsidP="00665072">
      <w:pPr>
        <w:spacing w:after="0" w:line="240" w:lineRule="auto"/>
        <w:rPr>
          <w:rFonts w:ascii="Verdana" w:hAnsi="Verdana"/>
        </w:rPr>
      </w:pPr>
    </w:p>
    <w:p w14:paraId="540396E2" w14:textId="77777777" w:rsidR="00F27C7E" w:rsidRDefault="00F27C7E" w:rsidP="00665072">
      <w:pPr>
        <w:spacing w:after="0" w:line="240" w:lineRule="auto"/>
        <w:rPr>
          <w:rFonts w:ascii="Verdana" w:hAnsi="Verdana"/>
        </w:rPr>
      </w:pPr>
    </w:p>
    <w:p w14:paraId="28C02E4D" w14:textId="77777777" w:rsidR="00F27C7E" w:rsidRDefault="00F27C7E" w:rsidP="00665072">
      <w:pPr>
        <w:spacing w:after="0" w:line="240" w:lineRule="auto"/>
        <w:rPr>
          <w:rFonts w:ascii="Verdana" w:hAnsi="Verdana"/>
        </w:rPr>
      </w:pPr>
    </w:p>
    <w:p w14:paraId="6FBCFD69" w14:textId="77777777" w:rsidR="00F27C7E" w:rsidRDefault="00F27C7E" w:rsidP="00665072">
      <w:pPr>
        <w:spacing w:after="0" w:line="240" w:lineRule="auto"/>
        <w:rPr>
          <w:rFonts w:ascii="Verdana" w:hAnsi="Verdana"/>
        </w:rPr>
      </w:pPr>
    </w:p>
    <w:p w14:paraId="4052A340" w14:textId="77777777" w:rsidR="00F27C7E" w:rsidRDefault="00F27C7E" w:rsidP="00665072">
      <w:pPr>
        <w:spacing w:after="0" w:line="240" w:lineRule="auto"/>
        <w:rPr>
          <w:rFonts w:ascii="Verdana" w:hAnsi="Verdana"/>
        </w:rPr>
      </w:pPr>
    </w:p>
    <w:p w14:paraId="63146C90" w14:textId="77777777" w:rsidR="0035573B" w:rsidRDefault="0035573B" w:rsidP="00665072">
      <w:pPr>
        <w:spacing w:after="0" w:line="240" w:lineRule="auto"/>
        <w:rPr>
          <w:rFonts w:ascii="Verdana" w:hAnsi="Verdana"/>
        </w:rPr>
      </w:pPr>
    </w:p>
    <w:p w14:paraId="070EFBF0" w14:textId="77777777" w:rsidR="0035573B" w:rsidRDefault="0035573B" w:rsidP="00665072">
      <w:pPr>
        <w:spacing w:after="0" w:line="240" w:lineRule="auto"/>
        <w:rPr>
          <w:rFonts w:ascii="Verdana" w:hAnsi="Verdana"/>
        </w:rPr>
      </w:pPr>
    </w:p>
    <w:p w14:paraId="12D78F4E" w14:textId="77777777" w:rsidR="0035573B" w:rsidRDefault="0035573B" w:rsidP="00665072">
      <w:pPr>
        <w:spacing w:after="0" w:line="240" w:lineRule="auto"/>
        <w:rPr>
          <w:rFonts w:ascii="Verdana" w:hAnsi="Verdana"/>
        </w:rPr>
      </w:pPr>
    </w:p>
    <w:p w14:paraId="3D4D9CB3" w14:textId="77777777" w:rsidR="00F27C7E" w:rsidRDefault="00F27C7E" w:rsidP="00665072">
      <w:pPr>
        <w:spacing w:after="0" w:line="240" w:lineRule="auto"/>
        <w:rPr>
          <w:rFonts w:ascii="Verdana" w:hAnsi="Verdana"/>
        </w:rPr>
      </w:pPr>
    </w:p>
    <w:p w14:paraId="65815FAF" w14:textId="77777777" w:rsidR="00F27C7E" w:rsidRDefault="00F27C7E" w:rsidP="00665072">
      <w:pPr>
        <w:spacing w:after="0" w:line="240" w:lineRule="auto"/>
        <w:rPr>
          <w:rFonts w:ascii="Verdana" w:hAnsi="Verdana"/>
        </w:rPr>
      </w:pPr>
    </w:p>
    <w:p w14:paraId="2F40A28E" w14:textId="77777777" w:rsidR="00F27C7E" w:rsidRDefault="00F27C7E" w:rsidP="00665072">
      <w:pPr>
        <w:spacing w:after="0" w:line="240" w:lineRule="auto"/>
        <w:rPr>
          <w:rFonts w:ascii="Verdana" w:hAnsi="Verdana"/>
        </w:rPr>
      </w:pPr>
    </w:p>
    <w:p w14:paraId="6891E9CD" w14:textId="77777777" w:rsidR="00267BB9" w:rsidRDefault="00267BB9" w:rsidP="00665072">
      <w:pPr>
        <w:spacing w:after="0" w:line="240" w:lineRule="auto"/>
        <w:rPr>
          <w:rFonts w:ascii="Verdana" w:hAnsi="Verdana"/>
        </w:rPr>
      </w:pPr>
    </w:p>
    <w:p w14:paraId="212FD00F" w14:textId="77777777" w:rsidR="00267BB9" w:rsidRDefault="00267BB9" w:rsidP="00665072">
      <w:pPr>
        <w:spacing w:after="0" w:line="240" w:lineRule="auto"/>
        <w:rPr>
          <w:rFonts w:ascii="Verdana" w:hAnsi="Verdana"/>
        </w:rPr>
      </w:pPr>
    </w:p>
    <w:p w14:paraId="1A1B2264" w14:textId="406EA88C" w:rsidR="00665072" w:rsidRPr="005B5DC6" w:rsidRDefault="00665072" w:rsidP="005B5DC6">
      <w:pPr>
        <w:pStyle w:val="Ttulo1"/>
        <w:numPr>
          <w:ilvl w:val="0"/>
          <w:numId w:val="35"/>
        </w:numPr>
        <w:rPr>
          <w:rFonts w:ascii="Verdana" w:eastAsia="Verdana" w:hAnsi="Verdana" w:cs="Verdana"/>
          <w:b/>
          <w:bCs/>
          <w:color w:val="auto"/>
          <w:sz w:val="22"/>
          <w:szCs w:val="22"/>
        </w:rPr>
      </w:pPr>
      <w:bookmarkStart w:id="2" w:name="_Toc221954307"/>
      <w:r w:rsidRPr="005B5DC6">
        <w:rPr>
          <w:rFonts w:ascii="Verdana" w:eastAsia="Verdana" w:hAnsi="Verdana" w:cs="Verdana"/>
          <w:b/>
          <w:bCs/>
          <w:color w:val="auto"/>
          <w:sz w:val="22"/>
          <w:szCs w:val="22"/>
        </w:rPr>
        <w:lastRenderedPageBreak/>
        <w:t>HISTORIAL DE CAMBIOS</w:t>
      </w:r>
      <w:bookmarkEnd w:id="2"/>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3C306B54" w:rsidR="00665072" w:rsidRPr="00DD7470" w:rsidRDefault="002259CA"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3144D18A"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r w:rsidR="002259CA">
              <w:rPr>
                <w:rFonts w:ascii="Verdana" w:hAnsi="Verdana" w:cs="Arial"/>
                <w:sz w:val="16"/>
                <w:szCs w:val="16"/>
              </w:rPr>
              <w:t>0</w:t>
            </w:r>
          </w:p>
        </w:tc>
        <w:tc>
          <w:tcPr>
            <w:tcW w:w="8221" w:type="dxa"/>
            <w:tcMar>
              <w:top w:w="57" w:type="dxa"/>
              <w:left w:w="113" w:type="dxa"/>
              <w:bottom w:w="57" w:type="dxa"/>
            </w:tcMar>
            <w:vAlign w:val="center"/>
          </w:tcPr>
          <w:p w14:paraId="542270AE" w14:textId="77777777" w:rsidR="00A646BE" w:rsidRPr="00F940B0" w:rsidRDefault="00E32C78" w:rsidP="00E32C78">
            <w:pPr>
              <w:spacing w:after="0" w:line="240" w:lineRule="auto"/>
              <w:jc w:val="both"/>
              <w:rPr>
                <w:rFonts w:ascii="Verdana" w:hAnsi="Verdana" w:cs="Arial"/>
                <w:bCs/>
                <w:color w:val="000000"/>
                <w:sz w:val="16"/>
                <w:szCs w:val="21"/>
              </w:rPr>
            </w:pPr>
            <w:r w:rsidRPr="00F940B0">
              <w:rPr>
                <w:rFonts w:ascii="Verdana" w:hAnsi="Verdana" w:cs="Arial"/>
                <w:bCs/>
                <w:color w:val="000000"/>
                <w:sz w:val="16"/>
                <w:szCs w:val="21"/>
              </w:rPr>
              <w:t xml:space="preserve">Primera versión del documento para el nuevo Mapa de procesos. </w:t>
            </w:r>
          </w:p>
          <w:p w14:paraId="4EF7A0E8" w14:textId="13B56733" w:rsidR="00665072" w:rsidRPr="00F940B0" w:rsidRDefault="00E32C78" w:rsidP="00E32C78">
            <w:pPr>
              <w:spacing w:after="0" w:line="240" w:lineRule="auto"/>
              <w:jc w:val="both"/>
              <w:rPr>
                <w:rFonts w:ascii="Verdana" w:hAnsi="Verdana" w:cs="Arial"/>
                <w:bCs/>
                <w:color w:val="000000"/>
                <w:sz w:val="16"/>
                <w:szCs w:val="21"/>
              </w:rPr>
            </w:pPr>
            <w:r w:rsidRPr="00F940B0">
              <w:rPr>
                <w:rFonts w:ascii="Verdana" w:hAnsi="Verdana" w:cs="Arial"/>
                <w:bCs/>
                <w:color w:val="000000"/>
                <w:sz w:val="16"/>
                <w:szCs w:val="21"/>
              </w:rPr>
              <w:t>Código anterior: DE-DR-003</w:t>
            </w:r>
            <w:r w:rsidR="002259CA" w:rsidRPr="00F940B0">
              <w:rPr>
                <w:rFonts w:ascii="Verdana" w:hAnsi="Verdana" w:cs="Arial"/>
                <w:bCs/>
                <w:color w:val="000000"/>
                <w:sz w:val="16"/>
                <w:szCs w:val="21"/>
              </w:rPr>
              <w:t>. V00.</w:t>
            </w:r>
          </w:p>
          <w:p w14:paraId="3E923A9B" w14:textId="77777777" w:rsidR="00A646BE" w:rsidRDefault="00A646BE" w:rsidP="00E32C78">
            <w:pPr>
              <w:spacing w:after="0" w:line="240" w:lineRule="auto"/>
              <w:jc w:val="both"/>
            </w:pPr>
          </w:p>
          <w:p w14:paraId="1FD714CA" w14:textId="77777777" w:rsidR="00C30AE1" w:rsidRDefault="00C30AE1" w:rsidP="00C30AE1">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94553DD" w14:textId="77777777" w:rsidR="00C30AE1" w:rsidRDefault="00C30AE1" w:rsidP="00C30AE1">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C30AE1" w14:paraId="59EB7A25" w14:textId="77777777" w:rsidTr="00DB1EE5">
              <w:tc>
                <w:tcPr>
                  <w:tcW w:w="3995" w:type="dxa"/>
                </w:tcPr>
                <w:p w14:paraId="13AF0DE5" w14:textId="77777777" w:rsidR="00C30AE1" w:rsidRDefault="00C30AE1" w:rsidP="00C30AE1">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3DB4BE0B" w14:textId="77777777" w:rsidR="00C30AE1" w:rsidRDefault="00C30AE1" w:rsidP="00C30AE1">
                  <w:pPr>
                    <w:jc w:val="center"/>
                    <w:rPr>
                      <w:rFonts w:ascii="Verdana" w:hAnsi="Verdana" w:cs="Arial"/>
                      <w:bCs/>
                      <w:color w:val="000000"/>
                      <w:sz w:val="16"/>
                      <w:szCs w:val="21"/>
                    </w:rPr>
                  </w:pPr>
                  <w:r>
                    <w:rPr>
                      <w:rFonts w:ascii="Verdana" w:hAnsi="Verdana" w:cs="Arial"/>
                      <w:bCs/>
                      <w:color w:val="000000"/>
                      <w:sz w:val="16"/>
                      <w:szCs w:val="21"/>
                    </w:rPr>
                    <w:t>APROBÓ</w:t>
                  </w:r>
                </w:p>
              </w:tc>
            </w:tr>
            <w:tr w:rsidR="00C30AE1" w14:paraId="41D33ECB" w14:textId="77777777" w:rsidTr="00DB1EE5">
              <w:tc>
                <w:tcPr>
                  <w:tcW w:w="3995" w:type="dxa"/>
                </w:tcPr>
                <w:p w14:paraId="2E019FE6" w14:textId="3A7A3A33" w:rsidR="0077215E" w:rsidRDefault="0077215E" w:rsidP="00C30AE1">
                  <w:pPr>
                    <w:jc w:val="both"/>
                    <w:rPr>
                      <w:rFonts w:ascii="Verdana" w:hAnsi="Verdana" w:cs="Arial"/>
                      <w:bCs/>
                      <w:color w:val="000000"/>
                      <w:sz w:val="16"/>
                      <w:szCs w:val="21"/>
                    </w:rPr>
                  </w:pPr>
                  <w:r w:rsidRPr="002A47FB">
                    <w:rPr>
                      <w:rFonts w:ascii="Verdana" w:hAnsi="Verdana"/>
                      <w:sz w:val="16"/>
                      <w:szCs w:val="16"/>
                    </w:rPr>
                    <w:t>ZULMA CHICUASUQUE CALDERÓN</w:t>
                  </w:r>
                  <w:r>
                    <w:rPr>
                      <w:rFonts w:ascii="Verdana" w:hAnsi="Verdana" w:cs="Arial"/>
                      <w:bCs/>
                      <w:color w:val="000000"/>
                      <w:sz w:val="16"/>
                      <w:szCs w:val="21"/>
                    </w:rPr>
                    <w:t xml:space="preserve"> </w:t>
                  </w:r>
                </w:p>
                <w:p w14:paraId="275118F5" w14:textId="0CECABEE" w:rsidR="00C30AE1" w:rsidRDefault="00C30AE1" w:rsidP="00C30AE1">
                  <w:pPr>
                    <w:jc w:val="both"/>
                    <w:rPr>
                      <w:rFonts w:ascii="Verdana" w:hAnsi="Verdana" w:cs="Arial"/>
                      <w:bCs/>
                      <w:color w:val="000000"/>
                      <w:sz w:val="16"/>
                      <w:szCs w:val="21"/>
                    </w:rPr>
                  </w:pPr>
                  <w:r>
                    <w:rPr>
                      <w:rFonts w:ascii="Verdana" w:hAnsi="Verdana" w:cs="Arial"/>
                      <w:bCs/>
                      <w:color w:val="000000"/>
                      <w:sz w:val="16"/>
                      <w:szCs w:val="21"/>
                    </w:rPr>
                    <w:t xml:space="preserve">Cargo: </w:t>
                  </w:r>
                  <w:r w:rsidR="0077215E" w:rsidRPr="002A47FB">
                    <w:rPr>
                      <w:rFonts w:ascii="Verdana" w:hAnsi="Verdana"/>
                      <w:sz w:val="16"/>
                      <w:szCs w:val="16"/>
                    </w:rPr>
                    <w:t>Jefe Oficina Asesora de Planeación Sectorial</w:t>
                  </w:r>
                  <w:r w:rsidR="0077215E">
                    <w:rPr>
                      <w:rFonts w:ascii="Verdana" w:hAnsi="Verdana"/>
                      <w:sz w:val="16"/>
                      <w:szCs w:val="16"/>
                    </w:rPr>
                    <w:t xml:space="preserve"> (e)</w:t>
                  </w:r>
                </w:p>
              </w:tc>
              <w:tc>
                <w:tcPr>
                  <w:tcW w:w="3995" w:type="dxa"/>
                </w:tcPr>
                <w:p w14:paraId="210ECFDB" w14:textId="77777777" w:rsidR="0077215E" w:rsidRDefault="0077215E" w:rsidP="0077215E">
                  <w:pPr>
                    <w:jc w:val="both"/>
                    <w:rPr>
                      <w:rFonts w:ascii="Verdana" w:hAnsi="Verdana" w:cs="Arial"/>
                      <w:bCs/>
                      <w:color w:val="000000"/>
                      <w:sz w:val="16"/>
                      <w:szCs w:val="21"/>
                    </w:rPr>
                  </w:pPr>
                  <w:r w:rsidRPr="002A47FB">
                    <w:rPr>
                      <w:rFonts w:ascii="Verdana" w:hAnsi="Verdana"/>
                      <w:sz w:val="16"/>
                      <w:szCs w:val="16"/>
                    </w:rPr>
                    <w:t>ZULMA CHICUASUQUE CALDERÓN</w:t>
                  </w:r>
                  <w:r>
                    <w:rPr>
                      <w:rFonts w:ascii="Verdana" w:hAnsi="Verdana" w:cs="Arial"/>
                      <w:bCs/>
                      <w:color w:val="000000"/>
                      <w:sz w:val="16"/>
                      <w:szCs w:val="21"/>
                    </w:rPr>
                    <w:t xml:space="preserve"> </w:t>
                  </w:r>
                </w:p>
                <w:p w14:paraId="78326ED8" w14:textId="5048D422" w:rsidR="00C30AE1" w:rsidRDefault="0077215E" w:rsidP="0077215E">
                  <w:pPr>
                    <w:jc w:val="both"/>
                    <w:rPr>
                      <w:rFonts w:ascii="Verdana" w:hAnsi="Verdana" w:cs="Arial"/>
                      <w:bCs/>
                      <w:color w:val="000000"/>
                      <w:sz w:val="16"/>
                      <w:szCs w:val="21"/>
                    </w:rPr>
                  </w:pPr>
                  <w:r>
                    <w:rPr>
                      <w:rFonts w:ascii="Verdana" w:hAnsi="Verdana" w:cs="Arial"/>
                      <w:bCs/>
                      <w:color w:val="000000"/>
                      <w:sz w:val="16"/>
                      <w:szCs w:val="21"/>
                    </w:rPr>
                    <w:t xml:space="preserve">Cargo: </w:t>
                  </w:r>
                  <w:r w:rsidRPr="002A47FB">
                    <w:rPr>
                      <w:rFonts w:ascii="Verdana" w:hAnsi="Verdana"/>
                      <w:sz w:val="16"/>
                      <w:szCs w:val="16"/>
                    </w:rPr>
                    <w:t>Jefe Oficina Asesora de Planeación Sectorial</w:t>
                  </w:r>
                  <w:r>
                    <w:rPr>
                      <w:rFonts w:ascii="Verdana" w:hAnsi="Verdana"/>
                      <w:sz w:val="16"/>
                      <w:szCs w:val="16"/>
                    </w:rPr>
                    <w:t xml:space="preserve"> (e)</w:t>
                  </w:r>
                </w:p>
              </w:tc>
            </w:tr>
          </w:tbl>
          <w:p w14:paraId="601CC1FE" w14:textId="77777777" w:rsidR="00C30AE1" w:rsidRDefault="00C30AE1" w:rsidP="00C30AE1">
            <w:pPr>
              <w:spacing w:after="0" w:line="240" w:lineRule="auto"/>
              <w:jc w:val="both"/>
              <w:rPr>
                <w:rFonts w:ascii="Verdana" w:hAnsi="Verdana" w:cs="Arial"/>
                <w:bCs/>
                <w:color w:val="000000"/>
                <w:sz w:val="16"/>
                <w:szCs w:val="21"/>
              </w:rPr>
            </w:pPr>
          </w:p>
          <w:p w14:paraId="4A4B1BB8" w14:textId="48827B83" w:rsidR="00C30AE1" w:rsidRDefault="00C30AE1" w:rsidP="00C30AE1">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427A73">
              <w:rPr>
                <w:rFonts w:ascii="Verdana" w:hAnsi="Verdana" w:cs="Arial"/>
                <w:sz w:val="16"/>
                <w:szCs w:val="16"/>
              </w:rPr>
              <w:t>ú</w:t>
            </w:r>
            <w:r>
              <w:rPr>
                <w:rFonts w:ascii="Verdana" w:hAnsi="Verdana" w:cs="Arial"/>
                <w:sz w:val="16"/>
                <w:szCs w:val="16"/>
              </w:rPr>
              <w:t xml:space="preserve">ltima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p w14:paraId="4120EAED" w14:textId="1346D7F2" w:rsidR="00A646BE" w:rsidRPr="00DD7470" w:rsidRDefault="00A646BE" w:rsidP="00E32C78">
            <w:pPr>
              <w:spacing w:after="0" w:line="240" w:lineRule="auto"/>
              <w:jc w:val="both"/>
              <w:rPr>
                <w:rFonts w:ascii="Verdana" w:hAnsi="Verdana" w:cs="Arial"/>
                <w:sz w:val="16"/>
                <w:szCs w:val="16"/>
              </w:rPr>
            </w:pPr>
          </w:p>
        </w:tc>
      </w:tr>
    </w:tbl>
    <w:p w14:paraId="414C2F77" w14:textId="77777777" w:rsidR="00665072" w:rsidRPr="00DD7470" w:rsidRDefault="00665072" w:rsidP="00665072">
      <w:pPr>
        <w:spacing w:after="0" w:line="240" w:lineRule="auto"/>
        <w:ind w:right="-232"/>
        <w:jc w:val="both"/>
        <w:rPr>
          <w:rFonts w:ascii="Verdana" w:hAnsi="Verdana" w:cs="Arial"/>
          <w:b/>
          <w:bCs/>
          <w:sz w:val="18"/>
          <w:szCs w:val="18"/>
        </w:rPr>
      </w:pPr>
    </w:p>
    <w:p w14:paraId="22C5C6DE" w14:textId="77777777" w:rsidR="00665072" w:rsidRPr="00DD7470" w:rsidRDefault="00665072" w:rsidP="00665072">
      <w:pPr>
        <w:spacing w:after="0" w:line="240" w:lineRule="auto"/>
        <w:ind w:right="-232"/>
        <w:jc w:val="both"/>
        <w:rPr>
          <w:rFonts w:ascii="Verdana" w:hAnsi="Verdana" w:cs="Arial"/>
          <w:b/>
          <w:bCs/>
          <w:sz w:val="18"/>
          <w:szCs w:val="18"/>
        </w:rPr>
      </w:pPr>
    </w:p>
    <w:p w14:paraId="186AF5F0" w14:textId="77777777" w:rsidR="00665072" w:rsidRPr="00DD7470" w:rsidRDefault="00665072" w:rsidP="00665072">
      <w:pPr>
        <w:spacing w:after="0" w:line="240" w:lineRule="auto"/>
        <w:ind w:right="-232"/>
        <w:jc w:val="both"/>
        <w:rPr>
          <w:rFonts w:ascii="Verdana" w:hAnsi="Verdana" w:cs="Arial"/>
          <w:b/>
          <w:bCs/>
          <w:sz w:val="18"/>
          <w:szCs w:val="18"/>
        </w:rPr>
      </w:pPr>
    </w:p>
    <w:p w14:paraId="5A69B002" w14:textId="77777777" w:rsidR="00665072" w:rsidRPr="00DD7470" w:rsidRDefault="00665072" w:rsidP="00665072">
      <w:pPr>
        <w:spacing w:after="0" w:line="240" w:lineRule="auto"/>
        <w:ind w:right="-232"/>
        <w:jc w:val="both"/>
        <w:rPr>
          <w:rFonts w:ascii="Verdana" w:hAnsi="Verdana" w:cs="Arial"/>
          <w:b/>
          <w:bCs/>
          <w:sz w:val="18"/>
          <w:szCs w:val="18"/>
        </w:rPr>
      </w:pPr>
    </w:p>
    <w:p w14:paraId="239222EE" w14:textId="362F7873" w:rsidR="00665072" w:rsidRPr="002D4D08" w:rsidRDefault="00665072" w:rsidP="002D4D08">
      <w:pPr>
        <w:pStyle w:val="Ttulo1"/>
        <w:numPr>
          <w:ilvl w:val="0"/>
          <w:numId w:val="35"/>
        </w:numPr>
        <w:rPr>
          <w:rFonts w:ascii="Verdana" w:eastAsia="Verdana" w:hAnsi="Verdana" w:cs="Verdana"/>
          <w:b/>
          <w:bCs/>
          <w:color w:val="auto"/>
          <w:sz w:val="22"/>
          <w:szCs w:val="22"/>
        </w:rPr>
      </w:pPr>
      <w:bookmarkStart w:id="3" w:name="_Toc221954308"/>
      <w:r w:rsidRPr="002D4D08">
        <w:rPr>
          <w:rFonts w:ascii="Verdana" w:eastAsia="Verdana" w:hAnsi="Verdana" w:cs="Verdana"/>
          <w:b/>
          <w:bCs/>
          <w:color w:val="auto"/>
          <w:sz w:val="22"/>
          <w:szCs w:val="22"/>
        </w:rPr>
        <w:t>FLUJO DE APROBACIÓN</w:t>
      </w:r>
      <w:bookmarkEnd w:id="3"/>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0427A73">
        <w:trPr>
          <w:trHeight w:val="64"/>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2A47FB" w:rsidRPr="00DD7470" w14:paraId="0E87B8A0" w14:textId="77777777" w:rsidTr="002A47FB">
        <w:trPr>
          <w:trHeight w:val="300"/>
        </w:trPr>
        <w:tc>
          <w:tcPr>
            <w:tcW w:w="1095" w:type="dxa"/>
            <w:vAlign w:val="center"/>
          </w:tcPr>
          <w:p w14:paraId="3C7D3A9D" w14:textId="77777777" w:rsidR="002A47FB" w:rsidRPr="00DD7470" w:rsidRDefault="002A47FB" w:rsidP="002A47FB">
            <w:pPr>
              <w:rPr>
                <w:rFonts w:ascii="Verdana" w:hAnsi="Verdana"/>
                <w:sz w:val="16"/>
                <w:szCs w:val="16"/>
              </w:rPr>
            </w:pPr>
            <w:r w:rsidRPr="00DD7470">
              <w:rPr>
                <w:rFonts w:ascii="Verdana" w:hAnsi="Verdana"/>
                <w:sz w:val="16"/>
                <w:szCs w:val="16"/>
              </w:rPr>
              <w:t>Nombre:</w:t>
            </w:r>
          </w:p>
        </w:tc>
        <w:tc>
          <w:tcPr>
            <w:tcW w:w="1605" w:type="dxa"/>
            <w:vAlign w:val="center"/>
          </w:tcPr>
          <w:p w14:paraId="2B3E6A55" w14:textId="7CCC3255" w:rsidR="002A47FB" w:rsidRPr="00DD7470" w:rsidRDefault="002A47FB" w:rsidP="002A47FB">
            <w:pPr>
              <w:rPr>
                <w:rFonts w:ascii="Verdana" w:hAnsi="Verdana"/>
                <w:sz w:val="16"/>
                <w:szCs w:val="16"/>
              </w:rPr>
            </w:pPr>
          </w:p>
        </w:tc>
        <w:tc>
          <w:tcPr>
            <w:tcW w:w="1095" w:type="dxa"/>
            <w:vAlign w:val="center"/>
          </w:tcPr>
          <w:p w14:paraId="14821BCB" w14:textId="77777777" w:rsidR="002A47FB" w:rsidRPr="00DD7470" w:rsidRDefault="002A47FB" w:rsidP="002A47FB">
            <w:pPr>
              <w:rPr>
                <w:rFonts w:ascii="Verdana" w:hAnsi="Verdana"/>
                <w:sz w:val="16"/>
                <w:szCs w:val="16"/>
              </w:rPr>
            </w:pPr>
            <w:r w:rsidRPr="00DD7470">
              <w:rPr>
                <w:rFonts w:ascii="Verdana" w:hAnsi="Verdana"/>
                <w:sz w:val="16"/>
                <w:szCs w:val="16"/>
              </w:rPr>
              <w:t>Nombre:</w:t>
            </w:r>
          </w:p>
        </w:tc>
        <w:tc>
          <w:tcPr>
            <w:tcW w:w="1605" w:type="dxa"/>
            <w:vAlign w:val="center"/>
          </w:tcPr>
          <w:p w14:paraId="5E70F736" w14:textId="2CFE2CCC" w:rsidR="002A47FB" w:rsidRPr="00DD7470" w:rsidRDefault="002A47FB" w:rsidP="002A47FB">
            <w:pPr>
              <w:rPr>
                <w:rFonts w:ascii="Verdana" w:hAnsi="Verdana"/>
                <w:sz w:val="16"/>
                <w:szCs w:val="16"/>
              </w:rPr>
            </w:pPr>
            <w:r>
              <w:rPr>
                <w:rFonts w:ascii="Verdana" w:hAnsi="Verdana"/>
                <w:sz w:val="16"/>
                <w:szCs w:val="16"/>
              </w:rPr>
              <w:t>Ivonn Moreno</w:t>
            </w:r>
          </w:p>
        </w:tc>
        <w:tc>
          <w:tcPr>
            <w:tcW w:w="1155" w:type="dxa"/>
            <w:vAlign w:val="center"/>
          </w:tcPr>
          <w:p w14:paraId="2EC8C2DC" w14:textId="77777777" w:rsidR="002A47FB" w:rsidRPr="00DD7470" w:rsidRDefault="002A47FB" w:rsidP="002A47FB">
            <w:pPr>
              <w:rPr>
                <w:rFonts w:ascii="Verdana" w:hAnsi="Verdana"/>
                <w:sz w:val="16"/>
                <w:szCs w:val="16"/>
              </w:rPr>
            </w:pPr>
            <w:r w:rsidRPr="00DD7470">
              <w:rPr>
                <w:rFonts w:ascii="Verdana" w:hAnsi="Verdana"/>
                <w:sz w:val="16"/>
                <w:szCs w:val="16"/>
              </w:rPr>
              <w:t>Nombre:</w:t>
            </w:r>
          </w:p>
        </w:tc>
        <w:tc>
          <w:tcPr>
            <w:tcW w:w="1545" w:type="dxa"/>
            <w:vAlign w:val="center"/>
          </w:tcPr>
          <w:p w14:paraId="66E84F81" w14:textId="2BDECBBB" w:rsidR="002A47FB" w:rsidRPr="00DD7470" w:rsidRDefault="002A47FB" w:rsidP="002A47FB">
            <w:pPr>
              <w:rPr>
                <w:rFonts w:ascii="Verdana" w:hAnsi="Verdana"/>
                <w:sz w:val="16"/>
                <w:szCs w:val="16"/>
              </w:rPr>
            </w:pPr>
          </w:p>
        </w:tc>
        <w:tc>
          <w:tcPr>
            <w:tcW w:w="1155" w:type="dxa"/>
            <w:vAlign w:val="center"/>
          </w:tcPr>
          <w:p w14:paraId="793F030B" w14:textId="77777777" w:rsidR="002A47FB" w:rsidRPr="00DD7470" w:rsidRDefault="002A47FB" w:rsidP="002A47FB">
            <w:pPr>
              <w:rPr>
                <w:rFonts w:ascii="Verdana" w:hAnsi="Verdana"/>
                <w:sz w:val="16"/>
                <w:szCs w:val="16"/>
              </w:rPr>
            </w:pPr>
            <w:r w:rsidRPr="00DD7470">
              <w:rPr>
                <w:rFonts w:ascii="Verdana" w:hAnsi="Verdana"/>
                <w:sz w:val="16"/>
                <w:szCs w:val="16"/>
              </w:rPr>
              <w:t>Nombre:</w:t>
            </w:r>
          </w:p>
        </w:tc>
        <w:tc>
          <w:tcPr>
            <w:tcW w:w="1545" w:type="dxa"/>
            <w:vAlign w:val="center"/>
          </w:tcPr>
          <w:p w14:paraId="0164AE84" w14:textId="692CAEAA" w:rsidR="002A47FB" w:rsidRPr="00DD7470" w:rsidRDefault="002A47FB" w:rsidP="002A47FB">
            <w:pPr>
              <w:rPr>
                <w:rFonts w:ascii="Verdana" w:hAnsi="Verdana"/>
                <w:sz w:val="16"/>
                <w:szCs w:val="16"/>
              </w:rPr>
            </w:pPr>
          </w:p>
        </w:tc>
      </w:tr>
      <w:tr w:rsidR="002A47FB" w:rsidRPr="00DD7470" w14:paraId="18130346" w14:textId="77777777" w:rsidTr="002A47FB">
        <w:trPr>
          <w:trHeight w:val="300"/>
        </w:trPr>
        <w:tc>
          <w:tcPr>
            <w:tcW w:w="1095" w:type="dxa"/>
            <w:vAlign w:val="center"/>
          </w:tcPr>
          <w:p w14:paraId="07C28E39" w14:textId="77777777" w:rsidR="002A47FB" w:rsidRPr="00DD7470" w:rsidRDefault="002A47FB" w:rsidP="002A47FB">
            <w:pPr>
              <w:rPr>
                <w:rFonts w:ascii="Verdana" w:hAnsi="Verdana"/>
                <w:sz w:val="16"/>
                <w:szCs w:val="16"/>
              </w:rPr>
            </w:pPr>
            <w:r w:rsidRPr="00DD7470">
              <w:rPr>
                <w:rFonts w:ascii="Verdana" w:hAnsi="Verdana"/>
                <w:sz w:val="16"/>
                <w:szCs w:val="16"/>
              </w:rPr>
              <w:t>Cargo:</w:t>
            </w:r>
          </w:p>
        </w:tc>
        <w:tc>
          <w:tcPr>
            <w:tcW w:w="1605" w:type="dxa"/>
            <w:vAlign w:val="center"/>
          </w:tcPr>
          <w:p w14:paraId="4DD6D33F" w14:textId="40B3E00A" w:rsidR="002A47FB" w:rsidRPr="00DD7470" w:rsidRDefault="002A47FB" w:rsidP="002A47FB">
            <w:pPr>
              <w:rPr>
                <w:rFonts w:ascii="Verdana" w:hAnsi="Verdana"/>
                <w:sz w:val="16"/>
                <w:szCs w:val="16"/>
              </w:rPr>
            </w:pPr>
          </w:p>
        </w:tc>
        <w:tc>
          <w:tcPr>
            <w:tcW w:w="1095" w:type="dxa"/>
            <w:vAlign w:val="center"/>
          </w:tcPr>
          <w:p w14:paraId="4572F25D" w14:textId="77777777" w:rsidR="002A47FB" w:rsidRPr="00DD7470" w:rsidRDefault="002A47FB" w:rsidP="002A47FB">
            <w:pPr>
              <w:rPr>
                <w:rFonts w:ascii="Verdana" w:hAnsi="Verdana"/>
                <w:sz w:val="16"/>
                <w:szCs w:val="16"/>
              </w:rPr>
            </w:pPr>
            <w:r w:rsidRPr="00DD7470">
              <w:rPr>
                <w:rFonts w:ascii="Verdana" w:hAnsi="Verdana"/>
                <w:sz w:val="16"/>
                <w:szCs w:val="16"/>
              </w:rPr>
              <w:t>Cargo:</w:t>
            </w:r>
          </w:p>
        </w:tc>
        <w:tc>
          <w:tcPr>
            <w:tcW w:w="1605" w:type="dxa"/>
            <w:vAlign w:val="center"/>
          </w:tcPr>
          <w:p w14:paraId="65C8AD1A" w14:textId="616EAE2B" w:rsidR="002A47FB" w:rsidRPr="00DD7470" w:rsidRDefault="002A47FB" w:rsidP="002A47FB">
            <w:pPr>
              <w:rPr>
                <w:rFonts w:ascii="Verdana" w:hAnsi="Verdana"/>
                <w:sz w:val="16"/>
                <w:szCs w:val="16"/>
              </w:rPr>
            </w:pPr>
            <w:r>
              <w:rPr>
                <w:rFonts w:ascii="Verdana" w:hAnsi="Verdana"/>
                <w:sz w:val="16"/>
                <w:szCs w:val="16"/>
              </w:rPr>
              <w:t xml:space="preserve">Profesional </w:t>
            </w:r>
            <w:r w:rsidRPr="002A47FB">
              <w:rPr>
                <w:rFonts w:ascii="Verdana" w:hAnsi="Verdana"/>
                <w:sz w:val="16"/>
                <w:szCs w:val="16"/>
              </w:rPr>
              <w:t>Oficina Asesora de Planeación Sectorial</w:t>
            </w:r>
          </w:p>
        </w:tc>
        <w:tc>
          <w:tcPr>
            <w:tcW w:w="1155" w:type="dxa"/>
            <w:vAlign w:val="center"/>
          </w:tcPr>
          <w:p w14:paraId="5EA5BE0C" w14:textId="77777777" w:rsidR="002A47FB" w:rsidRPr="00DD7470" w:rsidRDefault="002A47FB" w:rsidP="002A47FB">
            <w:pPr>
              <w:rPr>
                <w:rFonts w:ascii="Verdana" w:hAnsi="Verdana"/>
                <w:sz w:val="16"/>
                <w:szCs w:val="16"/>
              </w:rPr>
            </w:pPr>
            <w:r w:rsidRPr="00DD7470">
              <w:rPr>
                <w:rFonts w:ascii="Verdana" w:hAnsi="Verdana"/>
                <w:sz w:val="16"/>
                <w:szCs w:val="16"/>
              </w:rPr>
              <w:t>Cargo:</w:t>
            </w:r>
          </w:p>
        </w:tc>
        <w:tc>
          <w:tcPr>
            <w:tcW w:w="1545" w:type="dxa"/>
            <w:vAlign w:val="center"/>
          </w:tcPr>
          <w:p w14:paraId="1778B904" w14:textId="1D3A85D3" w:rsidR="002A47FB" w:rsidRPr="00DD7470" w:rsidRDefault="002A47FB" w:rsidP="002A47FB">
            <w:pPr>
              <w:rPr>
                <w:rFonts w:ascii="Verdana" w:hAnsi="Verdana"/>
                <w:sz w:val="16"/>
                <w:szCs w:val="16"/>
              </w:rPr>
            </w:pPr>
          </w:p>
        </w:tc>
        <w:tc>
          <w:tcPr>
            <w:tcW w:w="1155" w:type="dxa"/>
            <w:vAlign w:val="center"/>
          </w:tcPr>
          <w:p w14:paraId="0D5E7C16" w14:textId="77777777" w:rsidR="002A47FB" w:rsidRPr="00DD7470" w:rsidRDefault="002A47FB" w:rsidP="002A47FB">
            <w:pPr>
              <w:rPr>
                <w:rFonts w:ascii="Verdana" w:hAnsi="Verdana"/>
                <w:sz w:val="16"/>
                <w:szCs w:val="16"/>
              </w:rPr>
            </w:pPr>
            <w:r w:rsidRPr="00DD7470">
              <w:rPr>
                <w:rFonts w:ascii="Verdana" w:hAnsi="Verdana"/>
                <w:sz w:val="16"/>
                <w:szCs w:val="16"/>
              </w:rPr>
              <w:t>Cargo:</w:t>
            </w:r>
          </w:p>
        </w:tc>
        <w:tc>
          <w:tcPr>
            <w:tcW w:w="1545" w:type="dxa"/>
            <w:vAlign w:val="center"/>
          </w:tcPr>
          <w:p w14:paraId="7CCB2338" w14:textId="7235A6BE" w:rsidR="002A47FB" w:rsidRPr="00DD7470" w:rsidRDefault="002A47FB" w:rsidP="002A47FB">
            <w:pPr>
              <w:rPr>
                <w:rFonts w:ascii="Verdana" w:hAnsi="Verdana"/>
                <w:sz w:val="16"/>
                <w:szCs w:val="16"/>
              </w:rPr>
            </w:pPr>
          </w:p>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1F2C" w14:textId="77777777" w:rsidR="00BE6340" w:rsidRDefault="00BE6340" w:rsidP="009D6623">
      <w:pPr>
        <w:spacing w:after="0" w:line="240" w:lineRule="auto"/>
      </w:pPr>
      <w:r>
        <w:separator/>
      </w:r>
    </w:p>
  </w:endnote>
  <w:endnote w:type="continuationSeparator" w:id="0">
    <w:p w14:paraId="1F654018" w14:textId="77777777" w:rsidR="00BE6340" w:rsidRDefault="00BE6340"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unito Sans 10pt">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DD70F8" w:rsidRPr="00DD70F8">
      <w:rPr>
        <w:rFonts w:ascii="Verdana" w:hAnsi="Verdana"/>
        <w:noProof/>
        <w:sz w:val="14"/>
        <w:szCs w:val="14"/>
        <w:lang w:val="es-ES"/>
      </w:rPr>
      <w:t>3</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DD70F8" w:rsidRPr="00DD70F8">
      <w:rPr>
        <w:rFonts w:ascii="Verdana" w:hAnsi="Verdana"/>
        <w:noProof/>
        <w:sz w:val="14"/>
        <w:szCs w:val="14"/>
        <w:lang w:val="es-ES"/>
      </w:rPr>
      <w:t>7</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CC11" w14:textId="77777777" w:rsidR="00BE6340" w:rsidRDefault="00BE6340" w:rsidP="009D6623">
      <w:pPr>
        <w:spacing w:after="0" w:line="240" w:lineRule="auto"/>
      </w:pPr>
      <w:r>
        <w:separator/>
      </w:r>
    </w:p>
  </w:footnote>
  <w:footnote w:type="continuationSeparator" w:id="0">
    <w:p w14:paraId="07EE937C" w14:textId="77777777" w:rsidR="00BE6340" w:rsidRDefault="00BE6340"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BEF733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lang w:eastAsia="es-CO"/>
            </w:rPr>
            <w:drawing>
              <wp:inline distT="0" distB="0" distL="0" distR="0" wp14:anchorId="2EBC3C6D" wp14:editId="50323F09">
                <wp:extent cx="718873" cy="439367"/>
                <wp:effectExtent l="0" t="0" r="0" b="0"/>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18873" cy="439367"/>
                        </a:xfrm>
                        <a:prstGeom prst="rect">
                          <a:avLst/>
                        </a:prstGeom>
                      </pic:spPr>
                    </pic:pic>
                  </a:graphicData>
                </a:graphic>
              </wp:inline>
            </w:drawing>
          </w:r>
        </w:p>
      </w:tc>
      <w:tc>
        <w:tcPr>
          <w:tcW w:w="9094" w:type="dxa"/>
          <w:gridSpan w:val="6"/>
          <w:shd w:val="clear" w:color="auto" w:fill="BFBFBF" w:themeFill="background1" w:themeFillShade="BF"/>
          <w:vAlign w:val="center"/>
        </w:tcPr>
        <w:p w14:paraId="47D0C5A0" w14:textId="6026552D" w:rsidR="001A798F" w:rsidRPr="00A55E7A" w:rsidRDefault="001A798F" w:rsidP="001A798F">
          <w:pPr>
            <w:spacing w:after="0"/>
            <w:jc w:val="center"/>
            <w:rPr>
              <w:rFonts w:ascii="Verdana" w:hAnsi="Verdana"/>
              <w:sz w:val="16"/>
              <w:szCs w:val="16"/>
            </w:rPr>
          </w:pPr>
          <w:r w:rsidRPr="00A55E7A">
            <w:rPr>
              <w:rFonts w:ascii="Verdana" w:eastAsia="Arial" w:hAnsi="Verdana" w:cs="Arial"/>
              <w:b/>
              <w:bCs/>
              <w:color w:val="000000" w:themeColor="text1"/>
              <w:sz w:val="16"/>
              <w:szCs w:val="16"/>
            </w:rPr>
            <w:t>Proceso</w:t>
          </w:r>
          <w:r w:rsidRPr="00A55E7A">
            <w:rPr>
              <w:rFonts w:ascii="Verdana" w:eastAsia="Arial" w:hAnsi="Verdana" w:cs="Arial"/>
              <w:color w:val="000000" w:themeColor="text1"/>
              <w:sz w:val="16"/>
              <w:szCs w:val="16"/>
            </w:rPr>
            <w:t xml:space="preserve"> </w:t>
          </w:r>
          <w:r w:rsidR="00CA2A77" w:rsidRPr="00A55E7A">
            <w:rPr>
              <w:rFonts w:ascii="Verdana" w:eastAsia="Arial" w:hAnsi="Verdana" w:cs="Arial"/>
              <w:b/>
              <w:color w:val="000000" w:themeColor="text1"/>
              <w:sz w:val="16"/>
              <w:szCs w:val="16"/>
            </w:rPr>
            <w:t>Planeación y Direccionamiento Estratégico</w:t>
          </w:r>
        </w:p>
      </w:tc>
    </w:tr>
    <w:tr w:rsidR="001A798F" w:rsidRPr="00666AB9" w14:paraId="5E6B1847" w14:textId="77777777" w:rsidTr="1BEF733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2E71A72D" w:rsidR="001A798F" w:rsidRPr="00666AB9" w:rsidRDefault="00CA2A77" w:rsidP="00267BB9">
          <w:pPr>
            <w:spacing w:after="0"/>
            <w:jc w:val="center"/>
            <w:rPr>
              <w:rFonts w:ascii="Verdana" w:eastAsia="Arial" w:hAnsi="Verdana" w:cs="Arial"/>
              <w:b/>
              <w:bCs/>
              <w:color w:val="000000" w:themeColor="text1"/>
              <w:sz w:val="24"/>
              <w:szCs w:val="24"/>
            </w:rPr>
          </w:pPr>
          <w:r w:rsidRPr="00CA2A77">
            <w:rPr>
              <w:rFonts w:ascii="Verdana" w:eastAsia="Arial" w:hAnsi="Verdana" w:cs="Arial"/>
              <w:b/>
              <w:bCs/>
              <w:color w:val="000000" w:themeColor="text1"/>
            </w:rPr>
            <w:t>PARÁMETROS DE VERIFICACIÓN DE REPORTES DE</w:t>
          </w:r>
          <w:r w:rsidR="00267BB9">
            <w:rPr>
              <w:rFonts w:ascii="Verdana" w:eastAsia="Arial" w:hAnsi="Verdana" w:cs="Arial"/>
              <w:b/>
              <w:bCs/>
              <w:color w:val="000000" w:themeColor="text1"/>
            </w:rPr>
            <w:t xml:space="preserve"> </w:t>
          </w:r>
          <w:r w:rsidRPr="00CA2A77">
            <w:rPr>
              <w:rFonts w:ascii="Verdana" w:eastAsia="Arial" w:hAnsi="Verdana" w:cs="Arial"/>
              <w:b/>
              <w:bCs/>
              <w:color w:val="000000" w:themeColor="text1"/>
            </w:rPr>
            <w:t>AVANCE SOBRE DEL PLAN ESTRATÉGICO</w:t>
          </w:r>
          <w:r w:rsidR="00267BB9">
            <w:rPr>
              <w:rFonts w:ascii="Verdana" w:eastAsia="Arial" w:hAnsi="Verdana" w:cs="Arial"/>
              <w:b/>
              <w:bCs/>
              <w:color w:val="000000" w:themeColor="text1"/>
            </w:rPr>
            <w:t xml:space="preserve"> </w:t>
          </w:r>
          <w:r w:rsidRPr="00CA2A77">
            <w:rPr>
              <w:rFonts w:ascii="Verdana" w:eastAsia="Arial" w:hAnsi="Verdana" w:cs="Arial"/>
              <w:b/>
              <w:bCs/>
              <w:color w:val="000000" w:themeColor="text1"/>
            </w:rPr>
            <w:t>SECTORIAL EN ER+</w:t>
          </w:r>
        </w:p>
      </w:tc>
    </w:tr>
    <w:tr w:rsidR="001A798F" w:rsidRPr="00666AB9" w14:paraId="64F78FCC" w14:textId="77777777" w:rsidTr="1BEF733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1F0436EA" w:rsidR="001A798F" w:rsidRPr="00666AB9" w:rsidRDefault="00A646BE"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PD-DR-005</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187DBA1B" w:rsidR="001A798F" w:rsidRPr="00666AB9" w:rsidRDefault="00267BB9"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4190F523" w:rsidR="001A798F" w:rsidRPr="00666AB9" w:rsidRDefault="00267BB9"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12/06/2025</w:t>
          </w:r>
          <w:r w:rsidR="1BEF733F" w:rsidRPr="1BEF733F">
            <w:rPr>
              <w:rFonts w:ascii="Verdana" w:eastAsia="Arial" w:hAnsi="Verdana" w:cs="Arial"/>
              <w:color w:val="000000" w:themeColor="text1"/>
              <w:sz w:val="14"/>
              <w:szCs w:val="14"/>
            </w:rPr>
            <w:t xml:space="preserve"> </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4C62911"/>
    <w:multiLevelType w:val="hybridMultilevel"/>
    <w:tmpl w:val="6EBEF61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977FC"/>
    <w:multiLevelType w:val="hybridMultilevel"/>
    <w:tmpl w:val="8EB40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2C09A5"/>
    <w:multiLevelType w:val="multilevel"/>
    <w:tmpl w:val="684A5250"/>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8" w15:restartNumberingAfterBreak="0">
    <w:nsid w:val="3E3418FD"/>
    <w:multiLevelType w:val="hybridMultilevel"/>
    <w:tmpl w:val="9EC6B00A"/>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5" w15:restartNumberingAfterBreak="0">
    <w:nsid w:val="495F7839"/>
    <w:multiLevelType w:val="hybridMultilevel"/>
    <w:tmpl w:val="C5502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A548C0"/>
    <w:multiLevelType w:val="hybridMultilevel"/>
    <w:tmpl w:val="5C2EE8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415CD3"/>
    <w:multiLevelType w:val="hybridMultilevel"/>
    <w:tmpl w:val="BC048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A7E7398"/>
    <w:multiLevelType w:val="hybridMultilevel"/>
    <w:tmpl w:val="AFB8A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0621252">
    <w:abstractNumId w:val="17"/>
  </w:num>
  <w:num w:numId="2" w16cid:durableId="226693929">
    <w:abstractNumId w:val="35"/>
  </w:num>
  <w:num w:numId="3" w16cid:durableId="502164377">
    <w:abstractNumId w:val="6"/>
  </w:num>
  <w:num w:numId="4" w16cid:durableId="1081678090">
    <w:abstractNumId w:val="36"/>
  </w:num>
  <w:num w:numId="5" w16cid:durableId="190805898">
    <w:abstractNumId w:val="31"/>
  </w:num>
  <w:num w:numId="6" w16cid:durableId="1287079822">
    <w:abstractNumId w:val="13"/>
  </w:num>
  <w:num w:numId="7" w16cid:durableId="986858664">
    <w:abstractNumId w:val="38"/>
  </w:num>
  <w:num w:numId="8" w16cid:durableId="1472482433">
    <w:abstractNumId w:val="39"/>
  </w:num>
  <w:num w:numId="9" w16cid:durableId="1451318157">
    <w:abstractNumId w:val="22"/>
  </w:num>
  <w:num w:numId="10" w16cid:durableId="161630777">
    <w:abstractNumId w:val="28"/>
  </w:num>
  <w:num w:numId="11" w16cid:durableId="1727534978">
    <w:abstractNumId w:val="33"/>
  </w:num>
  <w:num w:numId="12" w16cid:durableId="1287736374">
    <w:abstractNumId w:val="23"/>
  </w:num>
  <w:num w:numId="13" w16cid:durableId="1071123664">
    <w:abstractNumId w:val="12"/>
  </w:num>
  <w:num w:numId="14" w16cid:durableId="1453591733">
    <w:abstractNumId w:val="42"/>
  </w:num>
  <w:num w:numId="15" w16cid:durableId="655186685">
    <w:abstractNumId w:val="3"/>
  </w:num>
  <w:num w:numId="16" w16cid:durableId="1534340794">
    <w:abstractNumId w:val="19"/>
  </w:num>
  <w:num w:numId="17" w16cid:durableId="1564873087">
    <w:abstractNumId w:val="14"/>
  </w:num>
  <w:num w:numId="18" w16cid:durableId="1676419184">
    <w:abstractNumId w:val="10"/>
  </w:num>
  <w:num w:numId="19" w16cid:durableId="1817641945">
    <w:abstractNumId w:val="0"/>
  </w:num>
  <w:num w:numId="20" w16cid:durableId="28533461">
    <w:abstractNumId w:val="29"/>
  </w:num>
  <w:num w:numId="21" w16cid:durableId="479350960">
    <w:abstractNumId w:val="5"/>
  </w:num>
  <w:num w:numId="22" w16cid:durableId="1014764634">
    <w:abstractNumId w:val="21"/>
  </w:num>
  <w:num w:numId="23" w16cid:durableId="703360240">
    <w:abstractNumId w:val="11"/>
  </w:num>
  <w:num w:numId="24" w16cid:durableId="1505586476">
    <w:abstractNumId w:val="1"/>
  </w:num>
  <w:num w:numId="25" w16cid:durableId="208810401">
    <w:abstractNumId w:val="9"/>
  </w:num>
  <w:num w:numId="26" w16cid:durableId="1291597831">
    <w:abstractNumId w:val="15"/>
  </w:num>
  <w:num w:numId="27" w16cid:durableId="805700673">
    <w:abstractNumId w:val="16"/>
  </w:num>
  <w:num w:numId="28" w16cid:durableId="2143617698">
    <w:abstractNumId w:val="37"/>
  </w:num>
  <w:num w:numId="29" w16cid:durableId="906455009">
    <w:abstractNumId w:val="34"/>
  </w:num>
  <w:num w:numId="30" w16cid:durableId="575634309">
    <w:abstractNumId w:val="30"/>
  </w:num>
  <w:num w:numId="31" w16cid:durableId="795221872">
    <w:abstractNumId w:val="24"/>
  </w:num>
  <w:num w:numId="32" w16cid:durableId="2006392545">
    <w:abstractNumId w:val="4"/>
  </w:num>
  <w:num w:numId="33" w16cid:durableId="1247154891">
    <w:abstractNumId w:val="40"/>
  </w:num>
  <w:num w:numId="34" w16cid:durableId="1057164518">
    <w:abstractNumId w:val="20"/>
  </w:num>
  <w:num w:numId="35" w16cid:durableId="2037734530">
    <w:abstractNumId w:val="26"/>
  </w:num>
  <w:num w:numId="36" w16cid:durableId="1043945043">
    <w:abstractNumId w:val="2"/>
  </w:num>
  <w:num w:numId="37" w16cid:durableId="664481148">
    <w:abstractNumId w:val="8"/>
  </w:num>
  <w:num w:numId="38" w16cid:durableId="1723673918">
    <w:abstractNumId w:val="18"/>
  </w:num>
  <w:num w:numId="39" w16cid:durableId="1825781717">
    <w:abstractNumId w:val="7"/>
  </w:num>
  <w:num w:numId="40" w16cid:durableId="891649554">
    <w:abstractNumId w:val="32"/>
  </w:num>
  <w:num w:numId="41" w16cid:durableId="867794003">
    <w:abstractNumId w:val="25"/>
  </w:num>
  <w:num w:numId="42" w16cid:durableId="1012993807">
    <w:abstractNumId w:val="41"/>
  </w:num>
  <w:num w:numId="43" w16cid:durableId="32447851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36DE"/>
    <w:rsid w:val="00026720"/>
    <w:rsid w:val="00026D08"/>
    <w:rsid w:val="00031509"/>
    <w:rsid w:val="000318F7"/>
    <w:rsid w:val="00037010"/>
    <w:rsid w:val="00044A7A"/>
    <w:rsid w:val="00047725"/>
    <w:rsid w:val="00055DD2"/>
    <w:rsid w:val="00057478"/>
    <w:rsid w:val="00062688"/>
    <w:rsid w:val="0006736C"/>
    <w:rsid w:val="00074F67"/>
    <w:rsid w:val="00083255"/>
    <w:rsid w:val="000955AD"/>
    <w:rsid w:val="000962FB"/>
    <w:rsid w:val="00096E43"/>
    <w:rsid w:val="000A7E95"/>
    <w:rsid w:val="000B3981"/>
    <w:rsid w:val="000D07F6"/>
    <w:rsid w:val="000D615C"/>
    <w:rsid w:val="000D61CC"/>
    <w:rsid w:val="000E1A1D"/>
    <w:rsid w:val="000E6A0B"/>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59CA"/>
    <w:rsid w:val="00227257"/>
    <w:rsid w:val="00256411"/>
    <w:rsid w:val="00256B5A"/>
    <w:rsid w:val="00260A6A"/>
    <w:rsid w:val="00263FA4"/>
    <w:rsid w:val="0026448E"/>
    <w:rsid w:val="00267999"/>
    <w:rsid w:val="00267BB9"/>
    <w:rsid w:val="002749DC"/>
    <w:rsid w:val="0027700F"/>
    <w:rsid w:val="00280569"/>
    <w:rsid w:val="0028231C"/>
    <w:rsid w:val="0029492B"/>
    <w:rsid w:val="002A21FD"/>
    <w:rsid w:val="002A47FB"/>
    <w:rsid w:val="002A6EB5"/>
    <w:rsid w:val="002A741D"/>
    <w:rsid w:val="002B116F"/>
    <w:rsid w:val="002B326C"/>
    <w:rsid w:val="002B636B"/>
    <w:rsid w:val="002B6C2C"/>
    <w:rsid w:val="002C1018"/>
    <w:rsid w:val="002C4156"/>
    <w:rsid w:val="002D4D08"/>
    <w:rsid w:val="002D6654"/>
    <w:rsid w:val="002E152E"/>
    <w:rsid w:val="002E7BB6"/>
    <w:rsid w:val="002F2A8C"/>
    <w:rsid w:val="0030108A"/>
    <w:rsid w:val="00303DDB"/>
    <w:rsid w:val="00305D2E"/>
    <w:rsid w:val="00311E97"/>
    <w:rsid w:val="00317C0F"/>
    <w:rsid w:val="003202E6"/>
    <w:rsid w:val="00330AA7"/>
    <w:rsid w:val="00342FF8"/>
    <w:rsid w:val="003439EC"/>
    <w:rsid w:val="0035573B"/>
    <w:rsid w:val="00357EC0"/>
    <w:rsid w:val="00384194"/>
    <w:rsid w:val="0039190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27A73"/>
    <w:rsid w:val="00432DF5"/>
    <w:rsid w:val="00433BC6"/>
    <w:rsid w:val="00442B43"/>
    <w:rsid w:val="00446132"/>
    <w:rsid w:val="00460FF6"/>
    <w:rsid w:val="004626E6"/>
    <w:rsid w:val="00463A9D"/>
    <w:rsid w:val="00475B84"/>
    <w:rsid w:val="004779E1"/>
    <w:rsid w:val="00492443"/>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5135"/>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1E87"/>
    <w:rsid w:val="005D56FF"/>
    <w:rsid w:val="005E57B4"/>
    <w:rsid w:val="005E7CA5"/>
    <w:rsid w:val="005F1B38"/>
    <w:rsid w:val="005F3740"/>
    <w:rsid w:val="006000E6"/>
    <w:rsid w:val="0060258A"/>
    <w:rsid w:val="00603CF4"/>
    <w:rsid w:val="00604B12"/>
    <w:rsid w:val="006108ED"/>
    <w:rsid w:val="006109B6"/>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614A"/>
    <w:rsid w:val="006E66A2"/>
    <w:rsid w:val="006E75BB"/>
    <w:rsid w:val="00702087"/>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7215E"/>
    <w:rsid w:val="00783A5A"/>
    <w:rsid w:val="007A1132"/>
    <w:rsid w:val="007A1BF3"/>
    <w:rsid w:val="007A7E4F"/>
    <w:rsid w:val="007B068A"/>
    <w:rsid w:val="007B0B74"/>
    <w:rsid w:val="007B7928"/>
    <w:rsid w:val="007C2159"/>
    <w:rsid w:val="007C3E5B"/>
    <w:rsid w:val="007C7AD9"/>
    <w:rsid w:val="007D110D"/>
    <w:rsid w:val="007D2DC0"/>
    <w:rsid w:val="007E0BDC"/>
    <w:rsid w:val="007E2DB5"/>
    <w:rsid w:val="0080740F"/>
    <w:rsid w:val="00813C24"/>
    <w:rsid w:val="00820A5E"/>
    <w:rsid w:val="00823028"/>
    <w:rsid w:val="008242DF"/>
    <w:rsid w:val="008349DB"/>
    <w:rsid w:val="0084099A"/>
    <w:rsid w:val="00841695"/>
    <w:rsid w:val="008519BA"/>
    <w:rsid w:val="00861F69"/>
    <w:rsid w:val="00867A27"/>
    <w:rsid w:val="00872E2D"/>
    <w:rsid w:val="00877EA8"/>
    <w:rsid w:val="00880D5F"/>
    <w:rsid w:val="0089200C"/>
    <w:rsid w:val="008925DA"/>
    <w:rsid w:val="00897470"/>
    <w:rsid w:val="008A4241"/>
    <w:rsid w:val="008A66DE"/>
    <w:rsid w:val="008A6BEF"/>
    <w:rsid w:val="008A6F9D"/>
    <w:rsid w:val="008B3371"/>
    <w:rsid w:val="008B574B"/>
    <w:rsid w:val="008C00A7"/>
    <w:rsid w:val="008C4F1E"/>
    <w:rsid w:val="008D531C"/>
    <w:rsid w:val="008D6A09"/>
    <w:rsid w:val="008D7A27"/>
    <w:rsid w:val="00901A01"/>
    <w:rsid w:val="00901CA8"/>
    <w:rsid w:val="00903162"/>
    <w:rsid w:val="00927172"/>
    <w:rsid w:val="009429EC"/>
    <w:rsid w:val="00954AE2"/>
    <w:rsid w:val="00963811"/>
    <w:rsid w:val="009652CF"/>
    <w:rsid w:val="0097187E"/>
    <w:rsid w:val="0097462E"/>
    <w:rsid w:val="00976DAE"/>
    <w:rsid w:val="00981FE3"/>
    <w:rsid w:val="009824BD"/>
    <w:rsid w:val="009871ED"/>
    <w:rsid w:val="00990F9C"/>
    <w:rsid w:val="00992E9C"/>
    <w:rsid w:val="00994FD0"/>
    <w:rsid w:val="009A163B"/>
    <w:rsid w:val="009A2CEE"/>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202C6"/>
    <w:rsid w:val="00A26446"/>
    <w:rsid w:val="00A31452"/>
    <w:rsid w:val="00A31932"/>
    <w:rsid w:val="00A31DF0"/>
    <w:rsid w:val="00A4102D"/>
    <w:rsid w:val="00A4408C"/>
    <w:rsid w:val="00A45AEA"/>
    <w:rsid w:val="00A5523C"/>
    <w:rsid w:val="00A55E7A"/>
    <w:rsid w:val="00A646BE"/>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4FE6"/>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BE6340"/>
    <w:rsid w:val="00BF36A1"/>
    <w:rsid w:val="00C0398F"/>
    <w:rsid w:val="00C1302F"/>
    <w:rsid w:val="00C17FB3"/>
    <w:rsid w:val="00C30AE1"/>
    <w:rsid w:val="00C3506A"/>
    <w:rsid w:val="00C3752F"/>
    <w:rsid w:val="00C5510C"/>
    <w:rsid w:val="00C56797"/>
    <w:rsid w:val="00C57744"/>
    <w:rsid w:val="00C67204"/>
    <w:rsid w:val="00C7416B"/>
    <w:rsid w:val="00C80DC3"/>
    <w:rsid w:val="00C815DC"/>
    <w:rsid w:val="00C84720"/>
    <w:rsid w:val="00CA2A77"/>
    <w:rsid w:val="00CA3F86"/>
    <w:rsid w:val="00CA68E9"/>
    <w:rsid w:val="00CB7138"/>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1A54"/>
    <w:rsid w:val="00DC2AD0"/>
    <w:rsid w:val="00DC3B67"/>
    <w:rsid w:val="00DC5F1A"/>
    <w:rsid w:val="00DD02D8"/>
    <w:rsid w:val="00DD3FB4"/>
    <w:rsid w:val="00DD4C0F"/>
    <w:rsid w:val="00DD512B"/>
    <w:rsid w:val="00DD70F8"/>
    <w:rsid w:val="00DD7470"/>
    <w:rsid w:val="00DF0CC3"/>
    <w:rsid w:val="00DF19E5"/>
    <w:rsid w:val="00E0063C"/>
    <w:rsid w:val="00E021A0"/>
    <w:rsid w:val="00E035D2"/>
    <w:rsid w:val="00E205A8"/>
    <w:rsid w:val="00E277EC"/>
    <w:rsid w:val="00E32C78"/>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151BB"/>
    <w:rsid w:val="00F20F9B"/>
    <w:rsid w:val="00F22008"/>
    <w:rsid w:val="00F26C12"/>
    <w:rsid w:val="00F27C7E"/>
    <w:rsid w:val="00F35BA1"/>
    <w:rsid w:val="00F378A6"/>
    <w:rsid w:val="00F5008B"/>
    <w:rsid w:val="00F60544"/>
    <w:rsid w:val="00F64C75"/>
    <w:rsid w:val="00F72A9A"/>
    <w:rsid w:val="00F766C7"/>
    <w:rsid w:val="00F774A1"/>
    <w:rsid w:val="00F86FA4"/>
    <w:rsid w:val="00F940B0"/>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BEF733F"/>
    <w:rsid w:val="1F5A4507"/>
    <w:rsid w:val="23DD58A2"/>
    <w:rsid w:val="2FAC17E4"/>
    <w:rsid w:val="30333070"/>
    <w:rsid w:val="3A3A4635"/>
    <w:rsid w:val="4F1F7174"/>
    <w:rsid w:val="5373E9A4"/>
    <w:rsid w:val="53DDA233"/>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customStyle="1" w:styleId="Default">
    <w:name w:val="Default"/>
    <w:rsid w:val="006109B6"/>
    <w:pPr>
      <w:autoSpaceDE w:val="0"/>
      <w:autoSpaceDN w:val="0"/>
      <w:adjustRightInd w:val="0"/>
      <w:spacing w:after="0" w:line="240" w:lineRule="auto"/>
    </w:pPr>
    <w:rPr>
      <w:rFonts w:ascii="Nunito Sans 10pt" w:hAnsi="Nunito Sans 10pt" w:cs="Nunito Sans 10pt"/>
      <w:color w:val="000000"/>
      <w:kern w:val="0"/>
      <w:sz w:val="24"/>
      <w:szCs w:val="24"/>
    </w:rPr>
  </w:style>
  <w:style w:type="paragraph" w:styleId="TDC1">
    <w:name w:val="toc 1"/>
    <w:basedOn w:val="Normal"/>
    <w:next w:val="Normal"/>
    <w:autoRedefine/>
    <w:uiPriority w:val="39"/>
    <w:unhideWhenUsed/>
    <w:rsid w:val="00CA2A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D2496AC5-FB6A-4E7A-B46B-C08F0AE92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718E7-49C4-4DF8-995C-7A4116761186}">
  <ds:schemaRefs>
    <ds:schemaRef ds:uri="http://schemas.openxmlformats.org/officeDocument/2006/bibliography"/>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1419</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Ivonn Magaly Moreno Barrera</cp:lastModifiedBy>
  <cp:revision>26</cp:revision>
  <cp:lastPrinted>2024-11-28T14:04:00Z</cp:lastPrinted>
  <dcterms:created xsi:type="dcterms:W3CDTF">2025-11-05T13:22:00Z</dcterms:created>
  <dcterms:modified xsi:type="dcterms:W3CDTF">2026-05-21T15:05:00Z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