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111F77CF" w14:textId="62245703" w:rsidR="00A33C49" w:rsidRPr="00DD629A" w:rsidRDefault="003B29ED" w:rsidP="003033FD">
      <w:pPr>
        <w:spacing w:after="0" w:line="240" w:lineRule="auto"/>
        <w:jc w:val="both"/>
        <w:rPr>
          <w:rFonts w:ascii="Verdana" w:hAnsi="Verdana"/>
          <w:sz w:val="20"/>
          <w:szCs w:val="20"/>
        </w:rPr>
      </w:pPr>
      <w:r w:rsidRPr="003B29ED">
        <w:rPr>
          <w:rFonts w:ascii="Verdana" w:hAnsi="Verdana"/>
          <w:sz w:val="20"/>
          <w:szCs w:val="20"/>
        </w:rPr>
        <w:t>Efectuar la transferencia a título gratuito de los Bienes Inmuebles fiscales asignados al Ministerio de Comercio, Industria y Turismo - MinCIT, que no sean necesarios para el cumplimiento de sus funciones misionales, a entidades de la Administración Pública del orden nacional o territorial, conforme a la normativa vigente. </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495405D8" w14:textId="197C2EAB" w:rsidR="003B29ED" w:rsidRDefault="003B29ED" w:rsidP="003033FD">
      <w:pPr>
        <w:spacing w:after="0" w:line="240" w:lineRule="auto"/>
        <w:jc w:val="both"/>
        <w:rPr>
          <w:rFonts w:ascii="Verdana" w:hAnsi="Verdana"/>
          <w:sz w:val="20"/>
          <w:szCs w:val="20"/>
        </w:rPr>
      </w:pPr>
      <w:r>
        <w:rPr>
          <w:rFonts w:ascii="Verdana" w:hAnsi="Verdana"/>
          <w:sz w:val="20"/>
          <w:szCs w:val="20"/>
        </w:rPr>
        <w:t>Inicia</w:t>
      </w:r>
      <w:r w:rsidRPr="003B29ED">
        <w:rPr>
          <w:rFonts w:ascii="Verdana" w:hAnsi="Verdana"/>
          <w:sz w:val="20"/>
          <w:szCs w:val="20"/>
        </w:rPr>
        <w:t xml:space="preserve"> con la identificación de los Bienes Inmuebles de propiedad del MinCIT a cargo del Grupo Administrativa y termina con la recepción material y formal por parte de la entidad pública interesada, la suscripción de escritura y con la formalización de la transferencia de dominio del inmueble a la entidad pública solicitante. </w:t>
      </w:r>
    </w:p>
    <w:p w14:paraId="7A066B6F" w14:textId="77777777" w:rsidR="00AA2563" w:rsidRDefault="00AA2563" w:rsidP="003033FD">
      <w:pPr>
        <w:spacing w:after="0" w:line="240" w:lineRule="auto"/>
        <w:jc w:val="both"/>
        <w:rPr>
          <w:rFonts w:ascii="Verdana" w:hAnsi="Verdana"/>
          <w:sz w:val="20"/>
          <w:szCs w:val="20"/>
        </w:rPr>
      </w:pP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4EB4BDC8" w14:textId="4AC48E6F"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ACTIVOS</w:t>
      </w:r>
      <w:r>
        <w:rPr>
          <w:rFonts w:ascii="Verdana" w:hAnsi="Verdana" w:cs="Arial"/>
          <w:b/>
          <w:sz w:val="20"/>
          <w:szCs w:val="20"/>
        </w:rPr>
        <w:t xml:space="preserve">: </w:t>
      </w:r>
      <w:r w:rsidRPr="008D49B5">
        <w:rPr>
          <w:rFonts w:ascii="Verdana" w:hAnsi="Verdana" w:cs="Arial"/>
          <w:bCs/>
          <w:sz w:val="20"/>
          <w:szCs w:val="20"/>
        </w:rPr>
        <w:t>Son recursos controlados por la entidad de los cuales se espera tener un potencial de servicio o generar beneficios económicos futuros. Bien tangible o intangible de la entidad pública obtenido como consecuencia de hechos pasados y del cual se espera se generen servicios o beneficios económicos futuros a la entidad pública en desarrollo de sus funciones de cometido estatal.</w:t>
      </w:r>
    </w:p>
    <w:p w14:paraId="78555307" w14:textId="77777777" w:rsidR="008D49B5" w:rsidRPr="008D49B5" w:rsidRDefault="008D49B5" w:rsidP="008D49B5">
      <w:pPr>
        <w:spacing w:after="0" w:line="240" w:lineRule="auto"/>
        <w:jc w:val="both"/>
        <w:rPr>
          <w:rFonts w:ascii="Verdana" w:hAnsi="Verdana" w:cs="Arial"/>
          <w:b/>
          <w:sz w:val="20"/>
          <w:szCs w:val="20"/>
        </w:rPr>
      </w:pPr>
    </w:p>
    <w:p w14:paraId="06E17F52" w14:textId="71642692"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AVALÚO</w:t>
      </w:r>
      <w:r>
        <w:rPr>
          <w:rFonts w:ascii="Verdana" w:hAnsi="Verdana" w:cs="Arial"/>
          <w:b/>
          <w:sz w:val="20"/>
          <w:szCs w:val="20"/>
        </w:rPr>
        <w:t xml:space="preserve">: </w:t>
      </w:r>
      <w:r w:rsidR="0075779C" w:rsidRPr="0075779C">
        <w:rPr>
          <w:rFonts w:ascii="Verdana" w:hAnsi="Verdana" w:cs="Arial"/>
          <w:bCs/>
          <w:sz w:val="20"/>
          <w:szCs w:val="20"/>
        </w:rPr>
        <w:t>Proceso de valuación de una propiedad. Estimación del precio de un bien.</w:t>
      </w:r>
    </w:p>
    <w:p w14:paraId="56449E0E" w14:textId="77777777" w:rsidR="0075779C" w:rsidRPr="008D49B5" w:rsidRDefault="0075779C" w:rsidP="008D49B5">
      <w:pPr>
        <w:spacing w:after="0" w:line="240" w:lineRule="auto"/>
        <w:jc w:val="both"/>
        <w:rPr>
          <w:rFonts w:ascii="Verdana" w:hAnsi="Verdana" w:cs="Arial"/>
          <w:b/>
          <w:sz w:val="20"/>
          <w:szCs w:val="20"/>
        </w:rPr>
      </w:pPr>
    </w:p>
    <w:p w14:paraId="13DE2237" w14:textId="1C5EDCDD" w:rsidR="008D49B5" w:rsidRPr="0075779C" w:rsidRDefault="008D49B5" w:rsidP="008D49B5">
      <w:pPr>
        <w:spacing w:after="0" w:line="240" w:lineRule="auto"/>
        <w:jc w:val="both"/>
        <w:rPr>
          <w:rFonts w:ascii="Verdana" w:hAnsi="Verdana" w:cs="Arial"/>
          <w:bCs/>
          <w:sz w:val="20"/>
          <w:szCs w:val="20"/>
        </w:rPr>
      </w:pPr>
      <w:r w:rsidRPr="008D49B5">
        <w:rPr>
          <w:rFonts w:ascii="Verdana" w:hAnsi="Verdana" w:cs="Arial"/>
          <w:b/>
          <w:sz w:val="20"/>
          <w:szCs w:val="20"/>
        </w:rPr>
        <w:t>AVALÚO FISCAL</w:t>
      </w:r>
      <w:r w:rsidR="0075779C">
        <w:rPr>
          <w:rFonts w:ascii="Verdana" w:hAnsi="Verdana" w:cs="Arial"/>
          <w:b/>
          <w:sz w:val="20"/>
          <w:szCs w:val="20"/>
        </w:rPr>
        <w:t xml:space="preserve">: </w:t>
      </w:r>
      <w:r w:rsidR="0075779C" w:rsidRPr="0075779C">
        <w:rPr>
          <w:rFonts w:ascii="Verdana" w:hAnsi="Verdana" w:cs="Arial"/>
          <w:bCs/>
          <w:sz w:val="20"/>
          <w:szCs w:val="20"/>
        </w:rPr>
        <w:t>Valor asignado a la propiedad inmueble para fines impositivos y que corresponde al cien por cien del avalúo catastral o autoevalúo.</w:t>
      </w:r>
    </w:p>
    <w:p w14:paraId="2FB832B6" w14:textId="77777777" w:rsidR="0075779C" w:rsidRPr="008D49B5" w:rsidRDefault="0075779C" w:rsidP="008D49B5">
      <w:pPr>
        <w:spacing w:after="0" w:line="240" w:lineRule="auto"/>
        <w:jc w:val="both"/>
        <w:rPr>
          <w:rFonts w:ascii="Verdana" w:hAnsi="Verdana" w:cs="Arial"/>
          <w:b/>
          <w:sz w:val="20"/>
          <w:szCs w:val="20"/>
        </w:rPr>
      </w:pPr>
    </w:p>
    <w:p w14:paraId="4BD35F03" w14:textId="04E0CAC7"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AVALÚO PARA EFECTOS CONTABLES</w:t>
      </w:r>
      <w:r w:rsidR="0075779C">
        <w:rPr>
          <w:rFonts w:ascii="Verdana" w:hAnsi="Verdana" w:cs="Arial"/>
          <w:b/>
          <w:sz w:val="20"/>
          <w:szCs w:val="20"/>
        </w:rPr>
        <w:t>:</w:t>
      </w:r>
      <w:r w:rsidR="00C61515" w:rsidRPr="00C61515">
        <w:rPr>
          <w:rFonts w:ascii="Arial" w:hAnsi="Arial" w:cs="Arial"/>
          <w:color w:val="333333"/>
          <w:sz w:val="17"/>
          <w:szCs w:val="17"/>
        </w:rPr>
        <w:t xml:space="preserve"> </w:t>
      </w:r>
      <w:r w:rsidR="00C61515" w:rsidRPr="00C61515">
        <w:rPr>
          <w:rFonts w:ascii="Verdana" w:hAnsi="Verdana" w:cs="Arial"/>
          <w:bCs/>
          <w:sz w:val="20"/>
          <w:szCs w:val="20"/>
        </w:rPr>
        <w:t>Se refiere a la valoración técnica que efectúa el funcionario, persona natural o jurídica expertas, designado por la entidad pública, que permita acopiar la información y documentación suficiente y pertinente sobre el valor actual de un bien mueble e inmueble y que generalmente se establece en función del precio de mercado que estos tienen.</w:t>
      </w:r>
    </w:p>
    <w:p w14:paraId="754F19E0" w14:textId="77777777" w:rsidR="0075779C" w:rsidRPr="008D49B5" w:rsidRDefault="0075779C" w:rsidP="008D49B5">
      <w:pPr>
        <w:spacing w:after="0" w:line="240" w:lineRule="auto"/>
        <w:jc w:val="both"/>
        <w:rPr>
          <w:rFonts w:ascii="Verdana" w:hAnsi="Verdana" w:cs="Arial"/>
          <w:b/>
          <w:sz w:val="20"/>
          <w:szCs w:val="20"/>
        </w:rPr>
      </w:pPr>
    </w:p>
    <w:p w14:paraId="06F0D76D" w14:textId="29D6CB84"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AVALÚO TÉCNICO</w:t>
      </w:r>
      <w:r w:rsidR="00C61515">
        <w:rPr>
          <w:rFonts w:ascii="Verdana" w:hAnsi="Verdana" w:cs="Arial"/>
          <w:b/>
          <w:sz w:val="20"/>
          <w:szCs w:val="20"/>
        </w:rPr>
        <w:t>:</w:t>
      </w:r>
      <w:r w:rsidR="00C61515" w:rsidRPr="00C61515">
        <w:rPr>
          <w:rFonts w:ascii="Arial" w:hAnsi="Arial" w:cs="Arial"/>
          <w:color w:val="333333"/>
          <w:sz w:val="17"/>
          <w:szCs w:val="17"/>
        </w:rPr>
        <w:t xml:space="preserve"> </w:t>
      </w:r>
      <w:r w:rsidR="00C61515" w:rsidRPr="00C61515">
        <w:rPr>
          <w:rFonts w:ascii="Verdana" w:hAnsi="Verdana" w:cs="Arial"/>
          <w:bCs/>
          <w:sz w:val="20"/>
          <w:szCs w:val="20"/>
        </w:rPr>
        <w:t>Procedimiento aplicado para determinar el valor comercial o de reposición de un bien o activo, efectuado por peritos o especialistas en la materia.</w:t>
      </w:r>
    </w:p>
    <w:p w14:paraId="76C352E4" w14:textId="77777777" w:rsidR="00C61515" w:rsidRPr="008D49B5" w:rsidRDefault="00C61515" w:rsidP="008D49B5">
      <w:pPr>
        <w:spacing w:after="0" w:line="240" w:lineRule="auto"/>
        <w:jc w:val="both"/>
        <w:rPr>
          <w:rFonts w:ascii="Verdana" w:hAnsi="Verdana" w:cs="Arial"/>
          <w:b/>
          <w:sz w:val="20"/>
          <w:szCs w:val="20"/>
        </w:rPr>
      </w:pPr>
    </w:p>
    <w:p w14:paraId="60852233" w14:textId="0F1A5F8B"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BAJA DE BIENES INMUEBLES</w:t>
      </w:r>
      <w:r w:rsidR="00C61515">
        <w:rPr>
          <w:rFonts w:ascii="Verdana" w:hAnsi="Verdana" w:cs="Arial"/>
          <w:b/>
          <w:sz w:val="20"/>
          <w:szCs w:val="20"/>
        </w:rPr>
        <w:t>:</w:t>
      </w:r>
      <w:r w:rsidR="00F96FDD" w:rsidRPr="00F96FDD">
        <w:rPr>
          <w:rFonts w:ascii="Arial" w:hAnsi="Arial" w:cs="Arial"/>
          <w:color w:val="333333"/>
          <w:sz w:val="17"/>
          <w:szCs w:val="17"/>
        </w:rPr>
        <w:t xml:space="preserve"> </w:t>
      </w:r>
      <w:r w:rsidR="00F96FDD" w:rsidRPr="00F96FDD">
        <w:rPr>
          <w:rFonts w:ascii="Verdana" w:hAnsi="Verdana" w:cs="Arial"/>
          <w:bCs/>
          <w:sz w:val="20"/>
          <w:szCs w:val="20"/>
        </w:rPr>
        <w:t>Es la decisión, orden y recomendación administrativa que adopta el comité de Bienes, Inventarios y Comercialización del Ministerio de Comercio, Industria y Turismo, que debe ser cumplida por el Grupo Administrativa y Grupo de Contabilidad. Es el retiro definitivo de los bienes inmuebles que se presenta cuando un bien es retirado definitivamente del servicio de forma física, jurídica y contable de los inventarios y registros del patrimonio de la entidad, por no cumplir la misionalidad y funcionalidad del Ministerio. La Baja de Bienes procederá solamente mediante decisión o recomendación del del Comité de Bienes, Inventarios y Comercialización del Ministerio de Comercio, Industria y Turismo, y se deberá emitir un acto administrativo para tal fin.</w:t>
      </w:r>
    </w:p>
    <w:p w14:paraId="2F13616A" w14:textId="77777777" w:rsidR="00C61515" w:rsidRDefault="00C61515" w:rsidP="008D49B5">
      <w:pPr>
        <w:spacing w:after="0" w:line="240" w:lineRule="auto"/>
        <w:jc w:val="both"/>
        <w:rPr>
          <w:rFonts w:ascii="Verdana" w:hAnsi="Verdana" w:cs="Arial"/>
          <w:b/>
          <w:sz w:val="20"/>
          <w:szCs w:val="20"/>
        </w:rPr>
      </w:pPr>
    </w:p>
    <w:p w14:paraId="6E7DE1CE" w14:textId="26FA9D9D" w:rsidR="008D49B5" w:rsidRPr="00F96FDD" w:rsidRDefault="008D49B5" w:rsidP="008D49B5">
      <w:pPr>
        <w:spacing w:after="0" w:line="240" w:lineRule="auto"/>
        <w:jc w:val="both"/>
        <w:rPr>
          <w:rFonts w:ascii="Verdana" w:hAnsi="Verdana" w:cs="Arial"/>
          <w:bCs/>
          <w:sz w:val="20"/>
          <w:szCs w:val="20"/>
        </w:rPr>
      </w:pPr>
      <w:r w:rsidRPr="008D49B5">
        <w:rPr>
          <w:rFonts w:ascii="Verdana" w:hAnsi="Verdana" w:cs="Arial"/>
          <w:b/>
          <w:sz w:val="20"/>
          <w:szCs w:val="20"/>
        </w:rPr>
        <w:t>BIEN(ES)</w:t>
      </w:r>
      <w:r w:rsidR="00F96FDD">
        <w:rPr>
          <w:rFonts w:ascii="Verdana" w:hAnsi="Verdana" w:cs="Arial"/>
          <w:b/>
          <w:sz w:val="20"/>
          <w:szCs w:val="20"/>
        </w:rPr>
        <w:t>:</w:t>
      </w:r>
      <w:r w:rsidR="00F96FDD" w:rsidRPr="00F96FDD">
        <w:rPr>
          <w:rFonts w:ascii="Arial" w:hAnsi="Arial" w:cs="Arial"/>
          <w:color w:val="333333"/>
          <w:sz w:val="17"/>
          <w:szCs w:val="17"/>
        </w:rPr>
        <w:t xml:space="preserve"> </w:t>
      </w:r>
      <w:r w:rsidR="00F96FDD" w:rsidRPr="00F96FDD">
        <w:rPr>
          <w:rFonts w:ascii="Verdana" w:hAnsi="Verdana" w:cs="Arial"/>
          <w:bCs/>
          <w:sz w:val="20"/>
          <w:szCs w:val="20"/>
        </w:rPr>
        <w:t>Son las cosas tangibles e intangibles, muebles e inmuebles, susceptibles de estimación económica.</w:t>
      </w:r>
    </w:p>
    <w:p w14:paraId="20015440" w14:textId="77777777" w:rsidR="00F96FDD" w:rsidRPr="008D49B5" w:rsidRDefault="00F96FDD" w:rsidP="008D49B5">
      <w:pPr>
        <w:spacing w:after="0" w:line="240" w:lineRule="auto"/>
        <w:jc w:val="both"/>
        <w:rPr>
          <w:rFonts w:ascii="Verdana" w:hAnsi="Verdana" w:cs="Arial"/>
          <w:b/>
          <w:sz w:val="20"/>
          <w:szCs w:val="20"/>
        </w:rPr>
      </w:pPr>
    </w:p>
    <w:p w14:paraId="6E4C8F86" w14:textId="0E0CDD13"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BIENES AFECTOS AL SERVICIO</w:t>
      </w:r>
      <w:r w:rsidR="00F96FDD">
        <w:rPr>
          <w:rFonts w:ascii="Verdana" w:hAnsi="Verdana" w:cs="Arial"/>
          <w:b/>
          <w:sz w:val="20"/>
          <w:szCs w:val="20"/>
        </w:rPr>
        <w:t xml:space="preserve">: </w:t>
      </w:r>
      <w:r w:rsidR="001173F7" w:rsidRPr="001173F7">
        <w:rPr>
          <w:rFonts w:ascii="Verdana" w:hAnsi="Verdana" w:cs="Arial"/>
          <w:bCs/>
          <w:sz w:val="20"/>
          <w:szCs w:val="20"/>
        </w:rPr>
        <w:t>Son los que sirven para el uso misional y para el desarrollo de funciones propias de los Servidores Públicos que pertenecen a la Nación.</w:t>
      </w:r>
    </w:p>
    <w:p w14:paraId="0A524A96" w14:textId="77777777" w:rsidR="00F96FDD" w:rsidRPr="008D49B5" w:rsidRDefault="00F96FDD" w:rsidP="008D49B5">
      <w:pPr>
        <w:spacing w:after="0" w:line="240" w:lineRule="auto"/>
        <w:jc w:val="both"/>
        <w:rPr>
          <w:rFonts w:ascii="Verdana" w:hAnsi="Verdana" w:cs="Arial"/>
          <w:b/>
          <w:sz w:val="20"/>
          <w:szCs w:val="20"/>
        </w:rPr>
      </w:pPr>
    </w:p>
    <w:p w14:paraId="0A2AF2E8" w14:textId="6175EC06" w:rsidR="008D49B5" w:rsidRDefault="008D49B5" w:rsidP="008D49B5">
      <w:pPr>
        <w:spacing w:after="0" w:line="240" w:lineRule="auto"/>
        <w:jc w:val="both"/>
        <w:rPr>
          <w:rFonts w:ascii="Verdana" w:hAnsi="Verdana" w:cs="Arial"/>
          <w:bCs/>
          <w:sz w:val="20"/>
          <w:szCs w:val="20"/>
        </w:rPr>
      </w:pPr>
      <w:r w:rsidRPr="008D49B5">
        <w:rPr>
          <w:rFonts w:ascii="Verdana" w:hAnsi="Verdana" w:cs="Arial"/>
          <w:b/>
          <w:sz w:val="20"/>
          <w:szCs w:val="20"/>
        </w:rPr>
        <w:lastRenderedPageBreak/>
        <w:t>BIENES INMUEBLES</w:t>
      </w:r>
      <w:r w:rsidR="001173F7">
        <w:rPr>
          <w:rFonts w:ascii="Verdana" w:hAnsi="Verdana" w:cs="Arial"/>
          <w:b/>
          <w:sz w:val="20"/>
          <w:szCs w:val="20"/>
        </w:rPr>
        <w:t xml:space="preserve">: </w:t>
      </w:r>
      <w:r w:rsidR="001173F7" w:rsidRPr="001173F7">
        <w:rPr>
          <w:rFonts w:ascii="Verdana" w:hAnsi="Verdana" w:cs="Arial"/>
          <w:bCs/>
          <w:sz w:val="20"/>
          <w:szCs w:val="20"/>
        </w:rPr>
        <w:t>Son aquellos que no pueden transportarse de un lugar a otro y aquellos que siendo bienes muebles se adhieren permanentemente al suelo, o que opera el fenómeno de la adhesión al inmueble o por destinación.</w:t>
      </w:r>
    </w:p>
    <w:p w14:paraId="023083CA" w14:textId="77777777" w:rsidR="001173F7" w:rsidRPr="008D49B5" w:rsidRDefault="001173F7" w:rsidP="008D49B5">
      <w:pPr>
        <w:spacing w:after="0" w:line="240" w:lineRule="auto"/>
        <w:jc w:val="both"/>
        <w:rPr>
          <w:rFonts w:ascii="Verdana" w:hAnsi="Verdana" w:cs="Arial"/>
          <w:b/>
          <w:sz w:val="20"/>
          <w:szCs w:val="20"/>
        </w:rPr>
      </w:pPr>
    </w:p>
    <w:p w14:paraId="2CB55F10" w14:textId="042CF54B"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BIEN INMUEBLE FISCAL</w:t>
      </w:r>
      <w:r w:rsidR="001173F7">
        <w:rPr>
          <w:rFonts w:ascii="Verdana" w:hAnsi="Verdana" w:cs="Arial"/>
          <w:b/>
          <w:sz w:val="20"/>
          <w:szCs w:val="20"/>
        </w:rPr>
        <w:t xml:space="preserve">: </w:t>
      </w:r>
      <w:r w:rsidR="0096466F" w:rsidRPr="0096466F">
        <w:rPr>
          <w:rFonts w:ascii="Verdana" w:hAnsi="Verdana" w:cs="Arial"/>
          <w:bCs/>
          <w:sz w:val="20"/>
          <w:szCs w:val="20"/>
        </w:rPr>
        <w:t>Se refiere a un inmueble que es propiedad de la entidad pública o estatal. Estos bienes pueden estar destinados al uso público, como carreteras o parques, o ser utilizados por el gobierno para fines administrativos.</w:t>
      </w:r>
    </w:p>
    <w:p w14:paraId="3AFB51F1" w14:textId="77777777" w:rsidR="0096466F" w:rsidRPr="008D49B5" w:rsidRDefault="0096466F" w:rsidP="008D49B5">
      <w:pPr>
        <w:spacing w:after="0" w:line="240" w:lineRule="auto"/>
        <w:jc w:val="both"/>
        <w:rPr>
          <w:rFonts w:ascii="Verdana" w:hAnsi="Verdana" w:cs="Arial"/>
          <w:b/>
          <w:sz w:val="20"/>
          <w:szCs w:val="20"/>
        </w:rPr>
      </w:pPr>
    </w:p>
    <w:p w14:paraId="450CA5CE" w14:textId="2BB9789C"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BIENES NO AFECTOS AL SERVICIO</w:t>
      </w:r>
      <w:r w:rsidR="0096466F">
        <w:rPr>
          <w:rFonts w:ascii="Verdana" w:hAnsi="Verdana" w:cs="Arial"/>
          <w:b/>
          <w:sz w:val="20"/>
          <w:szCs w:val="20"/>
        </w:rPr>
        <w:t xml:space="preserve">: </w:t>
      </w:r>
      <w:r w:rsidR="0096466F" w:rsidRPr="0096466F">
        <w:rPr>
          <w:rFonts w:ascii="Verdana" w:hAnsi="Verdana" w:cs="Arial"/>
          <w:bCs/>
          <w:sz w:val="20"/>
          <w:szCs w:val="20"/>
        </w:rPr>
        <w:t>Son aquellos que no son requeridos para el cumplimiento del servicio misional de la entidad.</w:t>
      </w:r>
    </w:p>
    <w:p w14:paraId="53B59A47" w14:textId="77777777" w:rsidR="0096466F" w:rsidRPr="008D49B5" w:rsidRDefault="0096466F" w:rsidP="008D49B5">
      <w:pPr>
        <w:spacing w:after="0" w:line="240" w:lineRule="auto"/>
        <w:jc w:val="both"/>
        <w:rPr>
          <w:rFonts w:ascii="Verdana" w:hAnsi="Verdana" w:cs="Arial"/>
          <w:b/>
          <w:sz w:val="20"/>
          <w:szCs w:val="20"/>
        </w:rPr>
      </w:pPr>
    </w:p>
    <w:p w14:paraId="1141A422" w14:textId="666A5DBA"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BIEN DE INTERÉS CULTURAL (BIC)</w:t>
      </w:r>
      <w:r w:rsidR="0096466F">
        <w:rPr>
          <w:rFonts w:ascii="Verdana" w:hAnsi="Verdana" w:cs="Arial"/>
          <w:b/>
          <w:sz w:val="20"/>
          <w:szCs w:val="20"/>
        </w:rPr>
        <w:t xml:space="preserve">: </w:t>
      </w:r>
      <w:r w:rsidR="0096466F" w:rsidRPr="0096466F">
        <w:rPr>
          <w:rFonts w:ascii="Verdana" w:hAnsi="Verdana" w:cs="Arial"/>
          <w:bCs/>
          <w:sz w:val="20"/>
          <w:szCs w:val="20"/>
        </w:rPr>
        <w:t>Son activos tangibles a los que se le atribuye entre otros, valores colectivos, históricos, estéticos, y simbólicos.</w:t>
      </w:r>
    </w:p>
    <w:p w14:paraId="2FDBD08F" w14:textId="77777777" w:rsidR="0096466F" w:rsidRPr="008D49B5" w:rsidRDefault="0096466F" w:rsidP="008D49B5">
      <w:pPr>
        <w:spacing w:after="0" w:line="240" w:lineRule="auto"/>
        <w:jc w:val="both"/>
        <w:rPr>
          <w:rFonts w:ascii="Verdana" w:hAnsi="Verdana" w:cs="Arial"/>
          <w:b/>
          <w:sz w:val="20"/>
          <w:szCs w:val="20"/>
        </w:rPr>
      </w:pPr>
    </w:p>
    <w:p w14:paraId="1E426D18" w14:textId="5E96ED78"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CESIÓN</w:t>
      </w:r>
      <w:r w:rsidR="0096466F">
        <w:rPr>
          <w:rFonts w:ascii="Verdana" w:hAnsi="Verdana" w:cs="Arial"/>
          <w:b/>
          <w:sz w:val="20"/>
          <w:szCs w:val="20"/>
        </w:rPr>
        <w:t>:</w:t>
      </w:r>
      <w:r w:rsidR="005D47E4" w:rsidRPr="005D47E4">
        <w:rPr>
          <w:rFonts w:ascii="Arial" w:hAnsi="Arial" w:cs="Arial"/>
          <w:color w:val="333333"/>
          <w:sz w:val="17"/>
          <w:szCs w:val="17"/>
        </w:rPr>
        <w:t xml:space="preserve"> </w:t>
      </w:r>
      <w:r w:rsidR="005D47E4" w:rsidRPr="005D47E4">
        <w:rPr>
          <w:rFonts w:ascii="Verdana" w:hAnsi="Verdana" w:cs="Arial"/>
          <w:bCs/>
          <w:sz w:val="20"/>
          <w:szCs w:val="20"/>
        </w:rPr>
        <w:t>Es la transmisión, gratuita u onerosa, que se hace de una cosa, crédito, acción o derecho a favor de otra persona o el abandono que el deudor hace de la totalidad de sus bienes en favor de sus acreedores.</w:t>
      </w:r>
    </w:p>
    <w:p w14:paraId="6D8DA011" w14:textId="77777777" w:rsidR="0096466F" w:rsidRPr="008D49B5" w:rsidRDefault="0096466F" w:rsidP="008D49B5">
      <w:pPr>
        <w:spacing w:after="0" w:line="240" w:lineRule="auto"/>
        <w:jc w:val="both"/>
        <w:rPr>
          <w:rFonts w:ascii="Verdana" w:hAnsi="Verdana" w:cs="Arial"/>
          <w:b/>
          <w:sz w:val="20"/>
          <w:szCs w:val="20"/>
        </w:rPr>
      </w:pPr>
    </w:p>
    <w:p w14:paraId="755FE2CB" w14:textId="5B4D0A13"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CEDER</w:t>
      </w:r>
      <w:r w:rsidR="005D47E4">
        <w:rPr>
          <w:rFonts w:ascii="Verdana" w:hAnsi="Verdana" w:cs="Arial"/>
          <w:b/>
          <w:sz w:val="20"/>
          <w:szCs w:val="20"/>
        </w:rPr>
        <w:t xml:space="preserve">: </w:t>
      </w:r>
      <w:r w:rsidR="005D47E4" w:rsidRPr="005D47E4">
        <w:rPr>
          <w:rFonts w:ascii="Verdana" w:hAnsi="Verdana" w:cs="Arial"/>
          <w:bCs/>
          <w:sz w:val="20"/>
          <w:szCs w:val="20"/>
        </w:rPr>
        <w:t>Dar, transferir o traspasar a alguien una cosa, acción o derecho.</w:t>
      </w:r>
    </w:p>
    <w:p w14:paraId="015DA4EF" w14:textId="77777777" w:rsidR="005D47E4" w:rsidRPr="008D49B5" w:rsidRDefault="005D47E4" w:rsidP="008D49B5">
      <w:pPr>
        <w:spacing w:after="0" w:line="240" w:lineRule="auto"/>
        <w:jc w:val="both"/>
        <w:rPr>
          <w:rFonts w:ascii="Verdana" w:hAnsi="Verdana" w:cs="Arial"/>
          <w:b/>
          <w:sz w:val="20"/>
          <w:szCs w:val="20"/>
        </w:rPr>
      </w:pPr>
    </w:p>
    <w:p w14:paraId="7A8C84F9" w14:textId="376F3F28"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CEDENTE</w:t>
      </w:r>
      <w:r w:rsidR="005D47E4">
        <w:rPr>
          <w:rFonts w:ascii="Verdana" w:hAnsi="Verdana" w:cs="Arial"/>
          <w:b/>
          <w:sz w:val="20"/>
          <w:szCs w:val="20"/>
        </w:rPr>
        <w:t xml:space="preserve">: </w:t>
      </w:r>
      <w:r w:rsidR="00E13D86" w:rsidRPr="00E13D86">
        <w:rPr>
          <w:rFonts w:ascii="Verdana" w:hAnsi="Verdana" w:cs="Arial"/>
          <w:bCs/>
          <w:sz w:val="20"/>
          <w:szCs w:val="20"/>
        </w:rPr>
        <w:t>Es aquella persona que transfiere o cede sus bienes o los derechos que tiene sobre estos.</w:t>
      </w:r>
    </w:p>
    <w:p w14:paraId="0BE931E3" w14:textId="77777777" w:rsidR="00E13D86" w:rsidRPr="008D49B5" w:rsidRDefault="00E13D86" w:rsidP="008D49B5">
      <w:pPr>
        <w:spacing w:after="0" w:line="240" w:lineRule="auto"/>
        <w:jc w:val="both"/>
        <w:rPr>
          <w:rFonts w:ascii="Verdana" w:hAnsi="Verdana" w:cs="Arial"/>
          <w:b/>
          <w:sz w:val="20"/>
          <w:szCs w:val="20"/>
        </w:rPr>
      </w:pPr>
    </w:p>
    <w:p w14:paraId="7BD62EC7" w14:textId="40EA7E54"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DIAGNÓSTICO CATASTRAL</w:t>
      </w:r>
      <w:r w:rsidR="00E13D86">
        <w:rPr>
          <w:rFonts w:ascii="Verdana" w:hAnsi="Verdana" w:cs="Arial"/>
          <w:b/>
          <w:sz w:val="20"/>
          <w:szCs w:val="20"/>
        </w:rPr>
        <w:t>:</w:t>
      </w:r>
      <w:r w:rsidR="00E13D86" w:rsidRPr="00E13D86">
        <w:rPr>
          <w:rFonts w:ascii="Arial" w:hAnsi="Arial" w:cs="Arial"/>
          <w:color w:val="333333"/>
          <w:sz w:val="17"/>
          <w:szCs w:val="17"/>
        </w:rPr>
        <w:t xml:space="preserve"> </w:t>
      </w:r>
      <w:r w:rsidR="00E13D86" w:rsidRPr="00E13D86">
        <w:rPr>
          <w:rFonts w:ascii="Verdana" w:hAnsi="Verdana" w:cs="Arial"/>
          <w:bCs/>
          <w:sz w:val="20"/>
          <w:szCs w:val="20"/>
        </w:rPr>
        <w:t>Es el análisis de la información catastral del inmueble que permite determinar el área y los linderos, en relación con la información jurídica. (Decreto 149 de 2020).</w:t>
      </w:r>
    </w:p>
    <w:p w14:paraId="0B135CA5" w14:textId="77777777" w:rsidR="00E13D86" w:rsidRDefault="00E13D86" w:rsidP="008D49B5">
      <w:pPr>
        <w:spacing w:after="0" w:line="240" w:lineRule="auto"/>
        <w:jc w:val="both"/>
        <w:rPr>
          <w:rFonts w:ascii="Verdana" w:hAnsi="Verdana" w:cs="Arial"/>
          <w:b/>
          <w:sz w:val="20"/>
          <w:szCs w:val="20"/>
        </w:rPr>
      </w:pPr>
    </w:p>
    <w:p w14:paraId="62CD7EE7" w14:textId="7DECCD62"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ENAJENACIÓN DE BIENES MUEBLES A TÍTULO GRATUITO</w:t>
      </w:r>
      <w:r w:rsidR="00E13D86">
        <w:rPr>
          <w:rFonts w:ascii="Verdana" w:hAnsi="Verdana" w:cs="Arial"/>
          <w:b/>
          <w:sz w:val="20"/>
          <w:szCs w:val="20"/>
        </w:rPr>
        <w:t>:</w:t>
      </w:r>
      <w:r w:rsidR="00FA5E41">
        <w:rPr>
          <w:rFonts w:ascii="Verdana" w:hAnsi="Verdana" w:cs="Arial"/>
          <w:b/>
          <w:sz w:val="20"/>
          <w:szCs w:val="20"/>
        </w:rPr>
        <w:t xml:space="preserve"> </w:t>
      </w:r>
      <w:r w:rsidR="00FA5E41" w:rsidRPr="00FA5E41">
        <w:rPr>
          <w:rFonts w:ascii="Verdana" w:hAnsi="Verdana" w:cs="Arial"/>
          <w:bCs/>
          <w:sz w:val="20"/>
          <w:szCs w:val="20"/>
        </w:rPr>
        <w:t>Es la transferencia de bienes a título gratuito, entre entidades del Estado en los términos de lo establecido en el Artículo 2.2.1.2.2.4.3 del Decreto 1082 de 2015 o de la norma que lo modifique o sustituya.</w:t>
      </w:r>
    </w:p>
    <w:p w14:paraId="41FA599E" w14:textId="77777777" w:rsidR="00E13D86" w:rsidRPr="008D49B5" w:rsidRDefault="00E13D86" w:rsidP="008D49B5">
      <w:pPr>
        <w:spacing w:after="0" w:line="240" w:lineRule="auto"/>
        <w:jc w:val="both"/>
        <w:rPr>
          <w:rFonts w:ascii="Verdana" w:hAnsi="Verdana" w:cs="Arial"/>
          <w:b/>
          <w:sz w:val="20"/>
          <w:szCs w:val="20"/>
        </w:rPr>
      </w:pPr>
    </w:p>
    <w:p w14:paraId="008A5271" w14:textId="2471824F"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ENAJENACIÓN ONEROSA DE BIENES</w:t>
      </w:r>
      <w:r w:rsidR="00FA5E41">
        <w:rPr>
          <w:rFonts w:ascii="Verdana" w:hAnsi="Verdana" w:cs="Arial"/>
          <w:b/>
          <w:sz w:val="20"/>
          <w:szCs w:val="20"/>
        </w:rPr>
        <w:t xml:space="preserve">: </w:t>
      </w:r>
      <w:r w:rsidR="00FA5E41" w:rsidRPr="00FA5E41">
        <w:rPr>
          <w:rFonts w:ascii="Verdana" w:hAnsi="Verdana" w:cs="Arial"/>
          <w:bCs/>
          <w:sz w:val="20"/>
          <w:szCs w:val="20"/>
        </w:rPr>
        <w:t>Es la transferencia de bienes a título gratuito, entre entidades del Estado en los términos de lo establecido en el Artículo 2.2.1.2.2.4.3 del Decreto 1082 de 2015 o de la norma que lo modifique o sustituya.</w:t>
      </w:r>
    </w:p>
    <w:p w14:paraId="0018E235" w14:textId="77777777" w:rsidR="00FA5E41" w:rsidRPr="008D49B5" w:rsidRDefault="00FA5E41" w:rsidP="008D49B5">
      <w:pPr>
        <w:spacing w:after="0" w:line="240" w:lineRule="auto"/>
        <w:jc w:val="both"/>
        <w:rPr>
          <w:rFonts w:ascii="Verdana" w:hAnsi="Verdana" w:cs="Arial"/>
          <w:b/>
          <w:sz w:val="20"/>
          <w:szCs w:val="20"/>
        </w:rPr>
      </w:pPr>
    </w:p>
    <w:p w14:paraId="55896974" w14:textId="30F295A3"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ESTUDIO DE TÍTULOS</w:t>
      </w:r>
      <w:r w:rsidR="00FA5E41">
        <w:rPr>
          <w:rFonts w:ascii="Verdana" w:hAnsi="Verdana" w:cs="Arial"/>
          <w:b/>
          <w:sz w:val="20"/>
          <w:szCs w:val="20"/>
        </w:rPr>
        <w:t>:</w:t>
      </w:r>
      <w:r w:rsidR="00FA5E41" w:rsidRPr="00FA5E41">
        <w:rPr>
          <w:rFonts w:ascii="Arial" w:hAnsi="Arial" w:cs="Arial"/>
          <w:color w:val="333333"/>
          <w:sz w:val="17"/>
          <w:szCs w:val="17"/>
        </w:rPr>
        <w:t xml:space="preserve"> </w:t>
      </w:r>
      <w:r w:rsidR="00FA5E41" w:rsidRPr="00FA5E41">
        <w:rPr>
          <w:rFonts w:ascii="Verdana" w:hAnsi="Verdana" w:cs="Arial"/>
          <w:bCs/>
          <w:sz w:val="20"/>
          <w:szCs w:val="20"/>
        </w:rPr>
        <w:t>Es el análisis jurídico de la tradición del inmueble que permite determinar la titularidad del dominio, identificando las limitaciones, afectaciones o gravámenes que incidan en la titularidad del derecho de dominio.</w:t>
      </w:r>
    </w:p>
    <w:p w14:paraId="49AF33FB" w14:textId="77777777" w:rsidR="00FA5E41" w:rsidRPr="008D49B5" w:rsidRDefault="00FA5E41" w:rsidP="008D49B5">
      <w:pPr>
        <w:spacing w:after="0" w:line="240" w:lineRule="auto"/>
        <w:jc w:val="both"/>
        <w:rPr>
          <w:rFonts w:ascii="Verdana" w:hAnsi="Verdana" w:cs="Arial"/>
          <w:b/>
          <w:sz w:val="20"/>
          <w:szCs w:val="20"/>
        </w:rPr>
      </w:pPr>
    </w:p>
    <w:p w14:paraId="6FEAAA92" w14:textId="02BFBC3A" w:rsidR="00FA5E41"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ESTUDIO TÉCNICO</w:t>
      </w:r>
      <w:r w:rsidR="00FA5E41">
        <w:rPr>
          <w:rFonts w:ascii="Verdana" w:hAnsi="Verdana" w:cs="Arial"/>
          <w:b/>
          <w:sz w:val="20"/>
          <w:szCs w:val="20"/>
        </w:rPr>
        <w:t>:</w:t>
      </w:r>
      <w:r w:rsidR="003B72C5" w:rsidRPr="003B72C5">
        <w:rPr>
          <w:rFonts w:ascii="Arial" w:hAnsi="Arial" w:cs="Arial"/>
          <w:color w:val="333333"/>
          <w:sz w:val="17"/>
          <w:szCs w:val="17"/>
        </w:rPr>
        <w:t xml:space="preserve"> </w:t>
      </w:r>
      <w:r w:rsidR="003B72C5" w:rsidRPr="003B72C5">
        <w:rPr>
          <w:rFonts w:ascii="Verdana" w:hAnsi="Verdana" w:cs="Arial"/>
          <w:bCs/>
          <w:sz w:val="20"/>
          <w:szCs w:val="20"/>
        </w:rPr>
        <w:t>Es el análisis técnico, para identificar la ubicación y destinación del inmueble en concordancia con lo dispuesto en el Plan de Ordenamiento Territorial (POT) o de los instrumentos que lo desarrollen o complementen.</w:t>
      </w:r>
    </w:p>
    <w:p w14:paraId="17038934" w14:textId="77777777" w:rsidR="00FA5E41" w:rsidRPr="008D49B5" w:rsidRDefault="00FA5E41" w:rsidP="008D49B5">
      <w:pPr>
        <w:spacing w:after="0" w:line="240" w:lineRule="auto"/>
        <w:jc w:val="both"/>
        <w:rPr>
          <w:rFonts w:ascii="Verdana" w:hAnsi="Verdana" w:cs="Arial"/>
          <w:b/>
          <w:sz w:val="20"/>
          <w:szCs w:val="20"/>
        </w:rPr>
      </w:pPr>
    </w:p>
    <w:p w14:paraId="664C83D1" w14:textId="605077BA" w:rsidR="008D49B5" w:rsidRPr="003B72C5" w:rsidRDefault="008D49B5" w:rsidP="008D49B5">
      <w:pPr>
        <w:spacing w:after="0" w:line="240" w:lineRule="auto"/>
        <w:jc w:val="both"/>
        <w:rPr>
          <w:rFonts w:ascii="Verdana" w:hAnsi="Verdana" w:cs="Arial"/>
          <w:bCs/>
          <w:sz w:val="20"/>
          <w:szCs w:val="20"/>
        </w:rPr>
      </w:pPr>
      <w:r w:rsidRPr="008D49B5">
        <w:rPr>
          <w:rFonts w:ascii="Verdana" w:hAnsi="Verdana" w:cs="Arial"/>
          <w:b/>
          <w:sz w:val="20"/>
          <w:szCs w:val="20"/>
        </w:rPr>
        <w:t>INMUEBLE</w:t>
      </w:r>
      <w:r w:rsidR="003B72C5">
        <w:rPr>
          <w:rFonts w:ascii="Verdana" w:hAnsi="Verdana" w:cs="Arial"/>
          <w:b/>
          <w:sz w:val="20"/>
          <w:szCs w:val="20"/>
        </w:rPr>
        <w:t xml:space="preserve">: </w:t>
      </w:r>
      <w:r w:rsidR="003B72C5" w:rsidRPr="003B72C5">
        <w:rPr>
          <w:rFonts w:ascii="Verdana" w:hAnsi="Verdana" w:cs="Arial"/>
          <w:bCs/>
          <w:sz w:val="20"/>
          <w:szCs w:val="20"/>
        </w:rPr>
        <w:t>Propiedad territorial fija, que no se puede trasladar de un lugar a otro sin alterar su esencia.</w:t>
      </w:r>
    </w:p>
    <w:p w14:paraId="1062B6DC" w14:textId="77777777" w:rsidR="003B72C5" w:rsidRPr="008D49B5" w:rsidRDefault="003B72C5" w:rsidP="008D49B5">
      <w:pPr>
        <w:spacing w:after="0" w:line="240" w:lineRule="auto"/>
        <w:jc w:val="both"/>
        <w:rPr>
          <w:rFonts w:ascii="Verdana" w:hAnsi="Verdana" w:cs="Arial"/>
          <w:b/>
          <w:sz w:val="20"/>
          <w:szCs w:val="20"/>
        </w:rPr>
      </w:pPr>
    </w:p>
    <w:p w14:paraId="2069C624" w14:textId="528329F1"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MOVILIZACIÓN DE ACTIVOS</w:t>
      </w:r>
      <w:r w:rsidR="003B72C5">
        <w:rPr>
          <w:rFonts w:ascii="Verdana" w:hAnsi="Verdana" w:cs="Arial"/>
          <w:b/>
          <w:sz w:val="20"/>
          <w:szCs w:val="20"/>
        </w:rPr>
        <w:t>:</w:t>
      </w:r>
      <w:r w:rsidR="000C1E5E">
        <w:rPr>
          <w:rFonts w:ascii="Verdana" w:hAnsi="Verdana" w:cs="Arial"/>
          <w:b/>
          <w:sz w:val="20"/>
          <w:szCs w:val="20"/>
        </w:rPr>
        <w:t xml:space="preserve"> </w:t>
      </w:r>
      <w:r w:rsidR="000C1E5E" w:rsidRPr="000C1E5E">
        <w:rPr>
          <w:rFonts w:ascii="Verdana" w:hAnsi="Verdana" w:cs="Arial"/>
          <w:bCs/>
          <w:sz w:val="20"/>
          <w:szCs w:val="20"/>
        </w:rPr>
        <w:t>Es la transferencia que realiza la Entidad Pública de Orden Nacional a la Central de Inversiones S.A -CISA-, a título gratuito y mediante acto administrativo, de los bienes inmuebles, participaciones accionarias y activos de su propiedad que no requieran para el ejercicio de sus funciones, en el marco del artículo 330 de la Ley 2294 de 2023 o de la norma que lo modifique o sustituya.</w:t>
      </w:r>
    </w:p>
    <w:p w14:paraId="1E6F4580" w14:textId="77777777" w:rsidR="003B72C5" w:rsidRPr="008D49B5" w:rsidRDefault="003B72C5" w:rsidP="008D49B5">
      <w:pPr>
        <w:spacing w:after="0" w:line="240" w:lineRule="auto"/>
        <w:jc w:val="both"/>
        <w:rPr>
          <w:rFonts w:ascii="Verdana" w:hAnsi="Verdana" w:cs="Arial"/>
          <w:b/>
          <w:sz w:val="20"/>
          <w:szCs w:val="20"/>
        </w:rPr>
      </w:pPr>
    </w:p>
    <w:p w14:paraId="14E3050F" w14:textId="6B65F54D"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PLAN DE ORDENAMIENTO TERRITORIAL (POT)</w:t>
      </w:r>
      <w:r w:rsidR="000C1E5E">
        <w:rPr>
          <w:rFonts w:ascii="Verdana" w:hAnsi="Verdana" w:cs="Arial"/>
          <w:b/>
          <w:sz w:val="20"/>
          <w:szCs w:val="20"/>
        </w:rPr>
        <w:t xml:space="preserve">: </w:t>
      </w:r>
      <w:r w:rsidR="000C1E5E" w:rsidRPr="000C1E5E">
        <w:rPr>
          <w:rFonts w:ascii="Verdana" w:hAnsi="Verdana" w:cs="Arial"/>
          <w:bCs/>
          <w:sz w:val="20"/>
          <w:szCs w:val="20"/>
        </w:rPr>
        <w:t xml:space="preserve">Es un instrumento técnico y normativo de planeación y gestión del territorio; conformado por un conjunto de acciones y políticas, administrativas y de planeación física, que orientan el desarrollo del territorio municipal en el corto, mediano y largo plazo, regulando la </w:t>
      </w:r>
      <w:r w:rsidR="000C1E5E" w:rsidRPr="000C1E5E">
        <w:rPr>
          <w:rFonts w:ascii="Verdana" w:hAnsi="Verdana" w:cs="Arial"/>
          <w:bCs/>
          <w:sz w:val="20"/>
          <w:szCs w:val="20"/>
        </w:rPr>
        <w:lastRenderedPageBreak/>
        <w:t>utilización, ocupación y transformación del espacio físico urbano y rural. Un POT es en esencia, el pacto social de una población con su territorio.</w:t>
      </w:r>
    </w:p>
    <w:p w14:paraId="0F844585" w14:textId="77777777" w:rsidR="000C1E5E" w:rsidRPr="008D49B5" w:rsidRDefault="000C1E5E" w:rsidP="008D49B5">
      <w:pPr>
        <w:spacing w:after="0" w:line="240" w:lineRule="auto"/>
        <w:jc w:val="both"/>
        <w:rPr>
          <w:rFonts w:ascii="Verdana" w:hAnsi="Verdana" w:cs="Arial"/>
          <w:b/>
          <w:sz w:val="20"/>
          <w:szCs w:val="20"/>
        </w:rPr>
      </w:pPr>
    </w:p>
    <w:p w14:paraId="6445C9D8" w14:textId="75C57C3A"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TRANSFERENCIA</w:t>
      </w:r>
      <w:r w:rsidR="000C1E5E">
        <w:rPr>
          <w:rFonts w:ascii="Verdana" w:hAnsi="Verdana" w:cs="Arial"/>
          <w:b/>
          <w:sz w:val="20"/>
          <w:szCs w:val="20"/>
        </w:rPr>
        <w:t>:</w:t>
      </w:r>
      <w:r w:rsidR="007A668C" w:rsidRPr="007A668C">
        <w:rPr>
          <w:rFonts w:ascii="Arial" w:hAnsi="Arial" w:cs="Arial"/>
          <w:color w:val="333333"/>
          <w:sz w:val="17"/>
          <w:szCs w:val="17"/>
        </w:rPr>
        <w:t xml:space="preserve"> </w:t>
      </w:r>
      <w:r w:rsidR="007A668C" w:rsidRPr="007A668C">
        <w:rPr>
          <w:rFonts w:ascii="Verdana" w:hAnsi="Verdana" w:cs="Arial"/>
          <w:bCs/>
          <w:sz w:val="20"/>
          <w:szCs w:val="20"/>
        </w:rPr>
        <w:t>Cesión, traspaso a otro del derecho que se tiene sobre un bien mueble o inmueble.</w:t>
      </w:r>
    </w:p>
    <w:p w14:paraId="10938ED1" w14:textId="77777777" w:rsidR="000C1E5E" w:rsidRPr="008D49B5" w:rsidRDefault="000C1E5E" w:rsidP="008D49B5">
      <w:pPr>
        <w:spacing w:after="0" w:line="240" w:lineRule="auto"/>
        <w:jc w:val="both"/>
        <w:rPr>
          <w:rFonts w:ascii="Verdana" w:hAnsi="Verdana" w:cs="Arial"/>
          <w:b/>
          <w:sz w:val="20"/>
          <w:szCs w:val="20"/>
        </w:rPr>
      </w:pPr>
    </w:p>
    <w:p w14:paraId="645D428D" w14:textId="24C4F1D1"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TRANSFERENCIA DE BIENES A TÍTULO GRATUITO</w:t>
      </w:r>
      <w:r w:rsidR="007A668C">
        <w:rPr>
          <w:rFonts w:ascii="Verdana" w:hAnsi="Verdana" w:cs="Arial"/>
          <w:b/>
          <w:sz w:val="20"/>
          <w:szCs w:val="20"/>
        </w:rPr>
        <w:t>:</w:t>
      </w:r>
      <w:r w:rsidR="007A668C" w:rsidRPr="007A668C">
        <w:rPr>
          <w:rFonts w:ascii="Arial" w:hAnsi="Arial" w:cs="Arial"/>
          <w:color w:val="333333"/>
          <w:sz w:val="17"/>
          <w:szCs w:val="17"/>
        </w:rPr>
        <w:t xml:space="preserve"> </w:t>
      </w:r>
      <w:r w:rsidR="007A668C" w:rsidRPr="007A668C">
        <w:rPr>
          <w:rFonts w:ascii="Verdana" w:hAnsi="Verdana" w:cs="Arial"/>
          <w:bCs/>
          <w:sz w:val="20"/>
          <w:szCs w:val="20"/>
        </w:rPr>
        <w:t>Es la enajenación de bienes muebles a título gratuito entre entidades del Estado en los términos de lo establecido en el Artículo 2.2.1.2.2.4.3 del Decreto 1082 de 2015 o de la norma que lo modifique o sustituya.</w:t>
      </w:r>
    </w:p>
    <w:p w14:paraId="4CAE6244" w14:textId="77777777" w:rsidR="007A668C" w:rsidRPr="008D49B5" w:rsidRDefault="007A668C" w:rsidP="008D49B5">
      <w:pPr>
        <w:spacing w:after="0" w:line="240" w:lineRule="auto"/>
        <w:jc w:val="both"/>
        <w:rPr>
          <w:rFonts w:ascii="Verdana" w:hAnsi="Verdana" w:cs="Arial"/>
          <w:b/>
          <w:sz w:val="20"/>
          <w:szCs w:val="20"/>
        </w:rPr>
      </w:pPr>
    </w:p>
    <w:p w14:paraId="68CF0851" w14:textId="4EF6A809" w:rsidR="008D49B5" w:rsidRDefault="008D49B5" w:rsidP="008D49B5">
      <w:pPr>
        <w:spacing w:after="0" w:line="240" w:lineRule="auto"/>
        <w:jc w:val="both"/>
        <w:rPr>
          <w:rFonts w:ascii="Verdana" w:hAnsi="Verdana" w:cs="Arial"/>
          <w:b/>
          <w:sz w:val="20"/>
          <w:szCs w:val="20"/>
        </w:rPr>
      </w:pPr>
      <w:r w:rsidRPr="008D49B5">
        <w:rPr>
          <w:rFonts w:ascii="Verdana" w:hAnsi="Verdana" w:cs="Arial"/>
          <w:b/>
          <w:sz w:val="20"/>
          <w:szCs w:val="20"/>
        </w:rPr>
        <w:t>TRANSFERENCIA DE INMUEBLES</w:t>
      </w:r>
      <w:r w:rsidR="007A668C">
        <w:rPr>
          <w:rFonts w:ascii="Verdana" w:hAnsi="Verdana" w:cs="Arial"/>
          <w:b/>
          <w:sz w:val="20"/>
          <w:szCs w:val="20"/>
        </w:rPr>
        <w:t>:</w:t>
      </w:r>
      <w:r w:rsidR="007A668C" w:rsidRPr="007A668C">
        <w:rPr>
          <w:rFonts w:ascii="Arial" w:hAnsi="Arial" w:cs="Arial"/>
          <w:color w:val="333333"/>
          <w:sz w:val="17"/>
          <w:szCs w:val="17"/>
        </w:rPr>
        <w:t xml:space="preserve"> </w:t>
      </w:r>
      <w:r w:rsidR="007A668C" w:rsidRPr="007A668C">
        <w:rPr>
          <w:rFonts w:ascii="Verdana" w:hAnsi="Verdana" w:cs="Arial"/>
          <w:bCs/>
          <w:sz w:val="20"/>
          <w:szCs w:val="20"/>
        </w:rPr>
        <w:t>Es el proceso legal que implica la modificación del titular de un bien inmueble. En esencia, es el acto de ceder o transferir el dominio y los derechos sobre la propiedad de una persona a otra.</w:t>
      </w:r>
    </w:p>
    <w:p w14:paraId="4F33BC73" w14:textId="77777777" w:rsidR="007A668C" w:rsidRPr="008D49B5" w:rsidRDefault="007A668C" w:rsidP="008D49B5">
      <w:pPr>
        <w:spacing w:after="0" w:line="240" w:lineRule="auto"/>
        <w:jc w:val="both"/>
        <w:rPr>
          <w:rFonts w:ascii="Verdana" w:hAnsi="Verdana" w:cs="Arial"/>
          <w:b/>
          <w:sz w:val="20"/>
          <w:szCs w:val="20"/>
        </w:rPr>
      </w:pPr>
    </w:p>
    <w:p w14:paraId="70AE48F5" w14:textId="56E5F67C" w:rsidR="00AA2563" w:rsidRPr="0046554A" w:rsidRDefault="008D49B5" w:rsidP="008D49B5">
      <w:pPr>
        <w:spacing w:after="0" w:line="240" w:lineRule="auto"/>
        <w:jc w:val="both"/>
        <w:rPr>
          <w:rFonts w:ascii="Verdana" w:hAnsi="Verdana" w:cs="Arial"/>
          <w:bCs/>
          <w:sz w:val="20"/>
          <w:szCs w:val="20"/>
        </w:rPr>
      </w:pPr>
      <w:r w:rsidRPr="008D49B5">
        <w:rPr>
          <w:rFonts w:ascii="Verdana" w:hAnsi="Verdana" w:cs="Arial"/>
          <w:b/>
          <w:sz w:val="20"/>
          <w:szCs w:val="20"/>
        </w:rPr>
        <w:t>TRASPASO DE BIENES</w:t>
      </w:r>
      <w:r w:rsidR="007A668C">
        <w:rPr>
          <w:rFonts w:ascii="Verdana" w:hAnsi="Verdana" w:cs="Arial"/>
          <w:b/>
          <w:sz w:val="20"/>
          <w:szCs w:val="20"/>
        </w:rPr>
        <w:t xml:space="preserve">: </w:t>
      </w:r>
      <w:r w:rsidR="0046554A" w:rsidRPr="0046554A">
        <w:rPr>
          <w:rFonts w:ascii="Verdana" w:hAnsi="Verdana" w:cs="Arial"/>
          <w:bCs/>
          <w:sz w:val="20"/>
          <w:szCs w:val="20"/>
        </w:rPr>
        <w:t>Representa la transferencia de los bienes muebles, inmuebles o de consumo de una entidad a otra entidad pública.</w:t>
      </w:r>
    </w:p>
    <w:p w14:paraId="78232174" w14:textId="77777777" w:rsidR="00AA2563" w:rsidRDefault="00AA2563" w:rsidP="003033FD">
      <w:pPr>
        <w:spacing w:after="0" w:line="240" w:lineRule="auto"/>
        <w:jc w:val="both"/>
        <w:rPr>
          <w:rFonts w:ascii="Verdana" w:hAnsi="Verdana" w:cs="Arial"/>
          <w:b/>
          <w:sz w:val="20"/>
          <w:szCs w:val="20"/>
        </w:rPr>
      </w:pPr>
    </w:p>
    <w:p w14:paraId="246AF675" w14:textId="77777777" w:rsidR="008D49B5" w:rsidRPr="00666AB9" w:rsidRDefault="008D49B5"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5822C9F4" w14:textId="6FA0033B" w:rsidR="00E769B8" w:rsidRDefault="00E769B8" w:rsidP="00E769B8">
      <w:pPr>
        <w:spacing w:after="0" w:line="240" w:lineRule="auto"/>
        <w:jc w:val="both"/>
        <w:rPr>
          <w:rFonts w:ascii="Verdana" w:hAnsi="Verdana" w:cs="Arial"/>
          <w:b/>
          <w:sz w:val="20"/>
          <w:szCs w:val="20"/>
        </w:rPr>
      </w:pPr>
      <w:r>
        <w:rPr>
          <w:rFonts w:ascii="Verdana" w:hAnsi="Verdana" w:cs="Arial"/>
          <w:b/>
          <w:sz w:val="20"/>
          <w:szCs w:val="20"/>
        </w:rPr>
        <w:t xml:space="preserve">4.1 </w:t>
      </w:r>
      <w:r w:rsidR="00843FF9">
        <w:rPr>
          <w:rFonts w:ascii="Verdana" w:hAnsi="Verdana" w:cs="Arial"/>
          <w:b/>
          <w:sz w:val="20"/>
          <w:szCs w:val="20"/>
        </w:rPr>
        <w:t>REQUISITOS GENERALES</w:t>
      </w:r>
    </w:p>
    <w:p w14:paraId="69E3E141" w14:textId="77777777" w:rsidR="0063752B" w:rsidRDefault="0063752B" w:rsidP="0046554A">
      <w:pPr>
        <w:spacing w:after="0" w:line="240" w:lineRule="auto"/>
        <w:jc w:val="both"/>
        <w:rPr>
          <w:rFonts w:ascii="Verdana" w:hAnsi="Verdana" w:cs="Arial"/>
          <w:b/>
          <w:sz w:val="20"/>
          <w:szCs w:val="20"/>
        </w:rPr>
      </w:pPr>
    </w:p>
    <w:p w14:paraId="07120283" w14:textId="2B0E97D7" w:rsidR="0046554A" w:rsidRDefault="0046554A" w:rsidP="0046554A">
      <w:pPr>
        <w:spacing w:after="0" w:line="240" w:lineRule="auto"/>
        <w:jc w:val="both"/>
        <w:rPr>
          <w:rFonts w:ascii="Verdana" w:hAnsi="Verdana" w:cs="Arial"/>
          <w:bCs/>
          <w:sz w:val="20"/>
          <w:szCs w:val="20"/>
        </w:rPr>
      </w:pPr>
      <w:r w:rsidRPr="0046554A">
        <w:rPr>
          <w:rFonts w:ascii="Verdana" w:hAnsi="Verdana" w:cs="Arial"/>
          <w:bCs/>
          <w:sz w:val="20"/>
          <w:szCs w:val="20"/>
        </w:rPr>
        <w:t>Para determinar la viabilidad de la transferencia de inmuebles a título gratuito entre entidades de orden nacional y territorial, a la luz del artículo 276 de la Ley 1955 de 2019, el Artículo 2.2.1.2.2.4.3 del Decreto 1082 de 2015 o de la norma que lo modifique o sustituya y los decretos reglamentarios se deben verificar los siguientes aspectos:</w:t>
      </w:r>
    </w:p>
    <w:p w14:paraId="3392B811" w14:textId="77777777" w:rsidR="00843FF9" w:rsidRPr="0046554A" w:rsidRDefault="00843FF9" w:rsidP="0046554A">
      <w:pPr>
        <w:spacing w:after="0" w:line="240" w:lineRule="auto"/>
        <w:jc w:val="both"/>
        <w:rPr>
          <w:rFonts w:ascii="Verdana" w:hAnsi="Verdana" w:cs="Arial"/>
          <w:bCs/>
          <w:sz w:val="20"/>
          <w:szCs w:val="20"/>
        </w:rPr>
      </w:pPr>
    </w:p>
    <w:p w14:paraId="58F7228C" w14:textId="4F6121CF" w:rsidR="0046554A" w:rsidRPr="00EC3F85" w:rsidRDefault="0046554A" w:rsidP="00EC3F85">
      <w:pPr>
        <w:pStyle w:val="ListParagraph"/>
        <w:numPr>
          <w:ilvl w:val="0"/>
          <w:numId w:val="19"/>
        </w:numPr>
        <w:spacing w:after="0" w:line="240" w:lineRule="auto"/>
        <w:jc w:val="both"/>
        <w:rPr>
          <w:rFonts w:ascii="Verdana" w:hAnsi="Verdana" w:cs="Arial"/>
          <w:bCs/>
          <w:sz w:val="20"/>
          <w:szCs w:val="20"/>
        </w:rPr>
      </w:pPr>
      <w:r w:rsidRPr="00EC3F85">
        <w:rPr>
          <w:rFonts w:ascii="Verdana" w:hAnsi="Verdana" w:cs="Arial"/>
          <w:bCs/>
          <w:sz w:val="20"/>
          <w:szCs w:val="20"/>
        </w:rPr>
        <w:t>Que el comité de Bienes de la entidad haya decidido que el bien a transferir o enajenar a título gratuito no sea necesario para el cumplimiento de funciones del MinCIT.</w:t>
      </w:r>
    </w:p>
    <w:p w14:paraId="6F8C97C6" w14:textId="77777777" w:rsidR="00843FF9" w:rsidRPr="0046554A" w:rsidRDefault="00843FF9" w:rsidP="0046554A">
      <w:pPr>
        <w:spacing w:after="0" w:line="240" w:lineRule="auto"/>
        <w:jc w:val="both"/>
        <w:rPr>
          <w:rFonts w:ascii="Verdana" w:hAnsi="Verdana" w:cs="Arial"/>
          <w:bCs/>
          <w:sz w:val="20"/>
          <w:szCs w:val="20"/>
        </w:rPr>
      </w:pPr>
    </w:p>
    <w:p w14:paraId="1BF52F3A" w14:textId="23D52786" w:rsidR="0046554A" w:rsidRPr="00EC3F85" w:rsidRDefault="0046554A" w:rsidP="00EC3F85">
      <w:pPr>
        <w:pStyle w:val="ListParagraph"/>
        <w:numPr>
          <w:ilvl w:val="0"/>
          <w:numId w:val="19"/>
        </w:numPr>
        <w:spacing w:after="0" w:line="240" w:lineRule="auto"/>
        <w:jc w:val="both"/>
        <w:rPr>
          <w:rFonts w:ascii="Verdana" w:hAnsi="Verdana" w:cs="Arial"/>
          <w:bCs/>
          <w:sz w:val="20"/>
          <w:szCs w:val="20"/>
        </w:rPr>
      </w:pPr>
      <w:r w:rsidRPr="00EC3F85">
        <w:rPr>
          <w:rFonts w:ascii="Verdana" w:hAnsi="Verdana" w:cs="Arial"/>
          <w:bCs/>
          <w:sz w:val="20"/>
          <w:szCs w:val="20"/>
        </w:rPr>
        <w:t>Que la cesión, transferencia o enajenación a título gratuito se haga con el fin de atender necesidades en materia de infraestructura y vivienda, sin importar el resultado de la operación en la entidad cedente.</w:t>
      </w:r>
    </w:p>
    <w:p w14:paraId="584E5CA7" w14:textId="77777777" w:rsidR="00843FF9" w:rsidRPr="0046554A" w:rsidRDefault="00843FF9" w:rsidP="0046554A">
      <w:pPr>
        <w:spacing w:after="0" w:line="240" w:lineRule="auto"/>
        <w:jc w:val="both"/>
        <w:rPr>
          <w:rFonts w:ascii="Verdana" w:hAnsi="Verdana" w:cs="Arial"/>
          <w:bCs/>
          <w:sz w:val="20"/>
          <w:szCs w:val="20"/>
        </w:rPr>
      </w:pPr>
    </w:p>
    <w:p w14:paraId="282179CC" w14:textId="6C77D32B" w:rsidR="0046554A" w:rsidRPr="00EC3F85" w:rsidRDefault="0046554A" w:rsidP="00EC3F85">
      <w:pPr>
        <w:pStyle w:val="ListParagraph"/>
        <w:numPr>
          <w:ilvl w:val="0"/>
          <w:numId w:val="19"/>
        </w:numPr>
        <w:spacing w:after="0" w:line="240" w:lineRule="auto"/>
        <w:jc w:val="both"/>
        <w:rPr>
          <w:rFonts w:ascii="Verdana" w:hAnsi="Verdana" w:cs="Arial"/>
          <w:bCs/>
          <w:sz w:val="20"/>
          <w:szCs w:val="20"/>
        </w:rPr>
      </w:pPr>
      <w:r w:rsidRPr="00EC3F85">
        <w:rPr>
          <w:rFonts w:ascii="Verdana" w:hAnsi="Verdana" w:cs="Arial"/>
          <w:bCs/>
          <w:sz w:val="20"/>
          <w:szCs w:val="20"/>
        </w:rPr>
        <w:t>Que no haya planes de enajenación onerosa.</w:t>
      </w:r>
    </w:p>
    <w:p w14:paraId="6187EC47" w14:textId="77777777" w:rsidR="00843FF9" w:rsidRPr="0046554A" w:rsidRDefault="00843FF9" w:rsidP="0046554A">
      <w:pPr>
        <w:spacing w:after="0" w:line="240" w:lineRule="auto"/>
        <w:jc w:val="both"/>
        <w:rPr>
          <w:rFonts w:ascii="Verdana" w:hAnsi="Verdana" w:cs="Arial"/>
          <w:bCs/>
          <w:sz w:val="20"/>
          <w:szCs w:val="20"/>
        </w:rPr>
      </w:pPr>
    </w:p>
    <w:p w14:paraId="274A43A7" w14:textId="72719387" w:rsidR="0046554A" w:rsidRPr="00EC3F85" w:rsidRDefault="0046554A" w:rsidP="00EC3F85">
      <w:pPr>
        <w:pStyle w:val="ListParagraph"/>
        <w:numPr>
          <w:ilvl w:val="0"/>
          <w:numId w:val="19"/>
        </w:numPr>
        <w:spacing w:after="0" w:line="240" w:lineRule="auto"/>
        <w:jc w:val="both"/>
        <w:rPr>
          <w:rFonts w:ascii="Verdana" w:hAnsi="Verdana" w:cs="Arial"/>
          <w:bCs/>
          <w:sz w:val="20"/>
          <w:szCs w:val="20"/>
        </w:rPr>
      </w:pPr>
      <w:r w:rsidRPr="00EC3F85">
        <w:rPr>
          <w:rFonts w:ascii="Verdana" w:hAnsi="Verdana" w:cs="Arial"/>
          <w:bCs/>
          <w:sz w:val="20"/>
          <w:szCs w:val="20"/>
        </w:rPr>
        <w:t>Que el uso del suelo mantenga concordancia con el Plan de Ordenamiento Territorial (POT) donde se ubica el inmueble, es decir, que no haya cambio de uso.</w:t>
      </w:r>
    </w:p>
    <w:p w14:paraId="4325E4AC" w14:textId="77777777" w:rsidR="00843FF9" w:rsidRPr="0046554A" w:rsidRDefault="00843FF9" w:rsidP="0046554A">
      <w:pPr>
        <w:spacing w:after="0" w:line="240" w:lineRule="auto"/>
        <w:jc w:val="both"/>
        <w:rPr>
          <w:rFonts w:ascii="Verdana" w:hAnsi="Verdana" w:cs="Arial"/>
          <w:bCs/>
          <w:sz w:val="20"/>
          <w:szCs w:val="20"/>
        </w:rPr>
      </w:pPr>
    </w:p>
    <w:p w14:paraId="67122E83" w14:textId="7F57A3F4" w:rsidR="0046554A" w:rsidRDefault="0046554A" w:rsidP="0046554A">
      <w:pPr>
        <w:spacing w:after="0" w:line="240" w:lineRule="auto"/>
        <w:jc w:val="both"/>
        <w:rPr>
          <w:rFonts w:ascii="Verdana" w:hAnsi="Verdana" w:cs="Arial"/>
          <w:bCs/>
          <w:sz w:val="20"/>
          <w:szCs w:val="20"/>
        </w:rPr>
      </w:pPr>
      <w:r w:rsidRPr="0046554A">
        <w:rPr>
          <w:rFonts w:ascii="Verdana" w:hAnsi="Verdana" w:cs="Arial"/>
          <w:bCs/>
          <w:sz w:val="20"/>
          <w:szCs w:val="20"/>
        </w:rPr>
        <w:t>Que se hayan surtido los siguientes tramites:</w:t>
      </w:r>
    </w:p>
    <w:p w14:paraId="17C3A255" w14:textId="77777777" w:rsidR="00300B6F" w:rsidRDefault="00300B6F" w:rsidP="0046554A">
      <w:pPr>
        <w:spacing w:after="0" w:line="240" w:lineRule="auto"/>
        <w:jc w:val="both"/>
        <w:rPr>
          <w:rFonts w:ascii="Verdana" w:hAnsi="Verdana" w:cs="Arial"/>
          <w:bCs/>
          <w:sz w:val="20"/>
          <w:szCs w:val="20"/>
        </w:rPr>
      </w:pPr>
    </w:p>
    <w:p w14:paraId="3F8F576B" w14:textId="73B25AE0" w:rsidR="0046554A" w:rsidRPr="00300B6F" w:rsidRDefault="0046554A" w:rsidP="00300B6F">
      <w:pPr>
        <w:pStyle w:val="ListParagraph"/>
        <w:numPr>
          <w:ilvl w:val="0"/>
          <w:numId w:val="18"/>
        </w:numPr>
        <w:spacing w:after="0" w:line="240" w:lineRule="auto"/>
        <w:jc w:val="both"/>
        <w:rPr>
          <w:rFonts w:ascii="Verdana" w:hAnsi="Verdana" w:cs="Arial"/>
          <w:bCs/>
          <w:sz w:val="20"/>
          <w:szCs w:val="20"/>
        </w:rPr>
      </w:pPr>
      <w:r w:rsidRPr="00300B6F">
        <w:rPr>
          <w:rFonts w:ascii="Verdana" w:hAnsi="Verdana" w:cs="Arial"/>
          <w:bCs/>
          <w:sz w:val="20"/>
          <w:szCs w:val="20"/>
        </w:rPr>
        <w:t>Estudio de títulos.</w:t>
      </w:r>
    </w:p>
    <w:p w14:paraId="79197910" w14:textId="0E0896C6" w:rsidR="0046554A" w:rsidRPr="00300B6F" w:rsidRDefault="0046554A" w:rsidP="00300B6F">
      <w:pPr>
        <w:pStyle w:val="ListParagraph"/>
        <w:numPr>
          <w:ilvl w:val="0"/>
          <w:numId w:val="18"/>
        </w:numPr>
        <w:spacing w:after="0" w:line="240" w:lineRule="auto"/>
        <w:jc w:val="both"/>
        <w:rPr>
          <w:rFonts w:ascii="Verdana" w:hAnsi="Verdana" w:cs="Arial"/>
          <w:bCs/>
          <w:sz w:val="20"/>
          <w:szCs w:val="20"/>
        </w:rPr>
      </w:pPr>
      <w:r w:rsidRPr="00300B6F">
        <w:rPr>
          <w:rFonts w:ascii="Verdana" w:hAnsi="Verdana" w:cs="Arial"/>
          <w:bCs/>
          <w:sz w:val="20"/>
          <w:szCs w:val="20"/>
        </w:rPr>
        <w:t>Estudio técnico.</w:t>
      </w:r>
    </w:p>
    <w:p w14:paraId="614648CE" w14:textId="0B4CF6FB" w:rsidR="0046554A" w:rsidRPr="00300B6F" w:rsidRDefault="0046554A" w:rsidP="00300B6F">
      <w:pPr>
        <w:pStyle w:val="ListParagraph"/>
        <w:numPr>
          <w:ilvl w:val="0"/>
          <w:numId w:val="18"/>
        </w:numPr>
        <w:spacing w:after="0" w:line="240" w:lineRule="auto"/>
        <w:jc w:val="both"/>
        <w:rPr>
          <w:rFonts w:ascii="Verdana" w:hAnsi="Verdana" w:cs="Arial"/>
          <w:bCs/>
          <w:sz w:val="20"/>
          <w:szCs w:val="20"/>
        </w:rPr>
      </w:pPr>
      <w:r w:rsidRPr="00300B6F">
        <w:rPr>
          <w:rFonts w:ascii="Verdana" w:hAnsi="Verdana" w:cs="Arial"/>
          <w:bCs/>
          <w:sz w:val="20"/>
          <w:szCs w:val="20"/>
        </w:rPr>
        <w:t>Diagnóstico Catastral.</w:t>
      </w:r>
    </w:p>
    <w:p w14:paraId="5025B4A5" w14:textId="77777777" w:rsidR="00843FF9" w:rsidRPr="0046554A" w:rsidRDefault="00843FF9" w:rsidP="0046554A">
      <w:pPr>
        <w:spacing w:after="0" w:line="240" w:lineRule="auto"/>
        <w:jc w:val="both"/>
        <w:rPr>
          <w:rFonts w:ascii="Verdana" w:hAnsi="Verdana" w:cs="Arial"/>
          <w:bCs/>
          <w:sz w:val="20"/>
          <w:szCs w:val="20"/>
        </w:rPr>
      </w:pPr>
    </w:p>
    <w:p w14:paraId="6063F98D" w14:textId="3AE64E6F" w:rsidR="0046554A" w:rsidRDefault="0046554A" w:rsidP="0046554A">
      <w:pPr>
        <w:spacing w:after="0" w:line="240" w:lineRule="auto"/>
        <w:jc w:val="both"/>
        <w:rPr>
          <w:rFonts w:ascii="Verdana" w:hAnsi="Verdana" w:cs="Arial"/>
          <w:bCs/>
          <w:sz w:val="20"/>
          <w:szCs w:val="20"/>
        </w:rPr>
      </w:pPr>
      <w:r w:rsidRPr="0046554A">
        <w:rPr>
          <w:rFonts w:ascii="Verdana" w:hAnsi="Verdana" w:cs="Arial"/>
          <w:bCs/>
          <w:sz w:val="20"/>
          <w:szCs w:val="20"/>
        </w:rPr>
        <w:t>Que se haya recaudado la siguiente documentación:</w:t>
      </w:r>
    </w:p>
    <w:p w14:paraId="1A04F222" w14:textId="77777777" w:rsidR="00843FF9" w:rsidRPr="0046554A" w:rsidRDefault="00843FF9" w:rsidP="0046554A">
      <w:pPr>
        <w:spacing w:after="0" w:line="240" w:lineRule="auto"/>
        <w:jc w:val="both"/>
        <w:rPr>
          <w:rFonts w:ascii="Verdana" w:hAnsi="Verdana" w:cs="Arial"/>
          <w:bCs/>
          <w:sz w:val="20"/>
          <w:szCs w:val="20"/>
        </w:rPr>
      </w:pPr>
    </w:p>
    <w:p w14:paraId="76697395" w14:textId="77777777" w:rsidR="0046554A" w:rsidRPr="0046554A" w:rsidRDefault="0046554A" w:rsidP="0046554A">
      <w:pPr>
        <w:spacing w:after="0" w:line="240" w:lineRule="auto"/>
        <w:jc w:val="both"/>
        <w:rPr>
          <w:rFonts w:ascii="Verdana" w:hAnsi="Verdana" w:cs="Arial"/>
          <w:bCs/>
          <w:sz w:val="20"/>
          <w:szCs w:val="20"/>
        </w:rPr>
      </w:pPr>
      <w:r w:rsidRPr="0046554A">
        <w:rPr>
          <w:rFonts w:ascii="Verdana" w:hAnsi="Verdana" w:cs="Arial"/>
          <w:bCs/>
          <w:sz w:val="20"/>
          <w:szCs w:val="20"/>
        </w:rPr>
        <w:t>a. Levantamiento topográfico, planos o cartografía existente en coordenadas Magna Sirgas.</w:t>
      </w:r>
    </w:p>
    <w:p w14:paraId="46840168" w14:textId="77777777" w:rsidR="0046554A" w:rsidRPr="0046554A" w:rsidRDefault="0046554A" w:rsidP="0046554A">
      <w:pPr>
        <w:spacing w:after="0" w:line="240" w:lineRule="auto"/>
        <w:jc w:val="both"/>
        <w:rPr>
          <w:rFonts w:ascii="Verdana" w:hAnsi="Verdana" w:cs="Arial"/>
          <w:bCs/>
          <w:sz w:val="20"/>
          <w:szCs w:val="20"/>
        </w:rPr>
      </w:pPr>
      <w:r w:rsidRPr="0046554A">
        <w:rPr>
          <w:rFonts w:ascii="Verdana" w:hAnsi="Verdana" w:cs="Arial"/>
          <w:bCs/>
          <w:sz w:val="20"/>
          <w:szCs w:val="20"/>
        </w:rPr>
        <w:t>b. Certificado de libertad y tradición expedido por la Oficina de Registro de Instrumentos Públicos o consulta de la Ventanilla Única de Registro (VUR) del folio de matrícula inmobiliaria individual o de mayor extensión.</w:t>
      </w:r>
    </w:p>
    <w:p w14:paraId="5136CA5F" w14:textId="77777777" w:rsidR="0046554A" w:rsidRPr="0046554A" w:rsidRDefault="0046554A" w:rsidP="0046554A">
      <w:pPr>
        <w:spacing w:after="0" w:line="240" w:lineRule="auto"/>
        <w:jc w:val="both"/>
        <w:rPr>
          <w:rFonts w:ascii="Verdana" w:hAnsi="Verdana" w:cs="Arial"/>
          <w:bCs/>
          <w:sz w:val="20"/>
          <w:szCs w:val="20"/>
        </w:rPr>
      </w:pPr>
      <w:r w:rsidRPr="0046554A">
        <w:rPr>
          <w:rFonts w:ascii="Verdana" w:hAnsi="Verdana" w:cs="Arial"/>
          <w:bCs/>
          <w:sz w:val="20"/>
          <w:szCs w:val="20"/>
        </w:rPr>
        <w:lastRenderedPageBreak/>
        <w:t>c. Documento expedido por la entidad receptora o cesionaria que certifique que la transferencia del bien inmueble fiscal atiende necesidades en materia de vivienda o infraestructura.</w:t>
      </w:r>
    </w:p>
    <w:p w14:paraId="3DFE8550" w14:textId="77777777" w:rsidR="0046554A" w:rsidRPr="0046554A" w:rsidRDefault="0046554A" w:rsidP="0046554A">
      <w:pPr>
        <w:spacing w:after="0" w:line="240" w:lineRule="auto"/>
        <w:jc w:val="both"/>
        <w:rPr>
          <w:rFonts w:ascii="Verdana" w:hAnsi="Verdana" w:cs="Arial"/>
          <w:bCs/>
          <w:sz w:val="20"/>
          <w:szCs w:val="20"/>
        </w:rPr>
      </w:pPr>
      <w:r w:rsidRPr="0046554A">
        <w:rPr>
          <w:rFonts w:ascii="Verdana" w:hAnsi="Verdana" w:cs="Arial"/>
          <w:bCs/>
          <w:sz w:val="20"/>
          <w:szCs w:val="20"/>
        </w:rPr>
        <w:t>d. Paz y salvo por concepto de impuestos, tasas y contribuciones expedido por la entidad territorial.</w:t>
      </w:r>
    </w:p>
    <w:p w14:paraId="21B64115" w14:textId="684D2FFE" w:rsidR="00AA2563" w:rsidRDefault="0046554A" w:rsidP="0046554A">
      <w:pPr>
        <w:spacing w:after="0" w:line="240" w:lineRule="auto"/>
        <w:jc w:val="both"/>
        <w:rPr>
          <w:rFonts w:ascii="Verdana" w:hAnsi="Verdana" w:cs="Arial"/>
          <w:bCs/>
          <w:sz w:val="20"/>
          <w:szCs w:val="20"/>
        </w:rPr>
      </w:pPr>
      <w:r w:rsidRPr="0046554A">
        <w:rPr>
          <w:rFonts w:ascii="Verdana" w:hAnsi="Verdana" w:cs="Arial"/>
          <w:bCs/>
          <w:sz w:val="20"/>
          <w:szCs w:val="20"/>
        </w:rPr>
        <w:t>e. Certificación de pago de servicios públicos expedida por el Coordinador del Grupo Administrativa</w:t>
      </w:r>
      <w:r w:rsidR="00AA2563" w:rsidRPr="00AA2563">
        <w:rPr>
          <w:rFonts w:ascii="Verdana" w:hAnsi="Verdana" w:cs="Arial"/>
          <w:bCs/>
          <w:sz w:val="20"/>
          <w:szCs w:val="20"/>
        </w:rPr>
        <w:t> </w:t>
      </w:r>
    </w:p>
    <w:p w14:paraId="1B774997" w14:textId="3B0F1D3D" w:rsidR="00AA2563" w:rsidRPr="00AA2563" w:rsidRDefault="00AA2563" w:rsidP="003033FD">
      <w:pPr>
        <w:spacing w:after="0" w:line="240" w:lineRule="auto"/>
        <w:jc w:val="both"/>
        <w:rPr>
          <w:rFonts w:ascii="Verdana" w:hAnsi="Verdana" w:cs="Arial"/>
          <w:b/>
          <w:sz w:val="20"/>
          <w:szCs w:val="20"/>
        </w:rPr>
      </w:pPr>
      <w:r w:rsidRPr="00AA2563">
        <w:rPr>
          <w:rFonts w:ascii="Verdana" w:hAnsi="Verdana" w:cs="Arial"/>
          <w:bCs/>
          <w:sz w:val="20"/>
          <w:szCs w:val="20"/>
        </w:rPr>
        <w:br/>
      </w:r>
      <w:r w:rsidRPr="00AA2563">
        <w:rPr>
          <w:rFonts w:ascii="Verdana" w:hAnsi="Verdana" w:cs="Arial"/>
          <w:b/>
          <w:sz w:val="20"/>
          <w:szCs w:val="20"/>
        </w:rPr>
        <w:t xml:space="preserve">4.2 </w:t>
      </w:r>
      <w:r>
        <w:rPr>
          <w:rFonts w:ascii="Verdana" w:hAnsi="Verdana" w:cs="Arial"/>
          <w:b/>
          <w:sz w:val="20"/>
          <w:szCs w:val="20"/>
        </w:rPr>
        <w:tab/>
      </w:r>
      <w:r w:rsidR="00300B6F">
        <w:rPr>
          <w:rFonts w:ascii="Verdana" w:hAnsi="Verdana" w:cs="Arial"/>
          <w:b/>
          <w:sz w:val="20"/>
          <w:szCs w:val="20"/>
        </w:rPr>
        <w:t>NORMATIVIDAD</w:t>
      </w:r>
      <w:r w:rsidRPr="00AA2563">
        <w:rPr>
          <w:rFonts w:ascii="Verdana" w:hAnsi="Verdana" w:cs="Arial"/>
          <w:b/>
          <w:sz w:val="20"/>
          <w:szCs w:val="20"/>
        </w:rPr>
        <w:t xml:space="preserve">: </w:t>
      </w:r>
    </w:p>
    <w:p w14:paraId="5252913E" w14:textId="77777777" w:rsidR="00AA2563" w:rsidRDefault="00AA2563" w:rsidP="003033FD">
      <w:pPr>
        <w:spacing w:after="0" w:line="240" w:lineRule="auto"/>
        <w:jc w:val="both"/>
        <w:rPr>
          <w:rFonts w:ascii="Verdana" w:hAnsi="Verdana" w:cs="Arial"/>
          <w:bCs/>
          <w:sz w:val="20"/>
          <w:szCs w:val="20"/>
        </w:rPr>
      </w:pPr>
    </w:p>
    <w:p w14:paraId="5E9C0759"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t>Este procedimiento se ejecuta de acuerdo con lo contemplado en:</w:t>
      </w:r>
    </w:p>
    <w:p w14:paraId="55069487" w14:textId="77777777" w:rsidR="009B364B" w:rsidRDefault="009B364B" w:rsidP="00300B6F">
      <w:pPr>
        <w:spacing w:after="0" w:line="240" w:lineRule="auto"/>
        <w:jc w:val="both"/>
        <w:rPr>
          <w:rFonts w:ascii="Verdana" w:hAnsi="Verdana" w:cs="Arial"/>
          <w:bCs/>
          <w:sz w:val="20"/>
          <w:szCs w:val="20"/>
        </w:rPr>
      </w:pPr>
    </w:p>
    <w:p w14:paraId="610275AA"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t>La Constitución Política de Colombia.</w:t>
      </w:r>
    </w:p>
    <w:p w14:paraId="1F7C8FB0"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t>El Código Civil Colombiano.</w:t>
      </w:r>
    </w:p>
    <w:p w14:paraId="50FCD36B"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t>El Código de Comercio Colombiano.</w:t>
      </w:r>
    </w:p>
    <w:p w14:paraId="6880C80A"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Ley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 Establece principios de coordinación, eficiencia y racionalización en la gestión de recursos públicos, incluyendo bienes inmuebles.</w:t>
      </w:r>
    </w:p>
    <w:p w14:paraId="53AB5DA3"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Ley 819 de 2003. "Por la cual se dictan normas orgánicas en materia de presupuesto, responsabilidad y transparencia fiscal y se dictan otras disposiciones". Regula el manejo fiscal responsable en operaciones como la transferencia de bienes, exigiendo respaldo presupuestal y análisis de impacto fiscal.</w:t>
      </w:r>
    </w:p>
    <w:p w14:paraId="6B3BDA83" w14:textId="723AC52E"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Ley 1558 de 2012. "Por la cual se modifica la Ley 300 de 1996 -Ley General de Turismo, la Ley 1101 de 2006 y se dictan otras disposiciones". Artículo 22.</w:t>
      </w:r>
    </w:p>
    <w:p w14:paraId="17FCBEE6"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 xml:space="preserve">Artículo 22. "Reglamentado parcialmente por el Decreto Nacional 2125 de 2012, Reglamentado por el Decreto Nacional 2503 de 2012". Los bienes inmuebles con vocación turística incautados o que les fuere extinguido el dominio debido a su vinculación con procesos por delitos de narcotráfico, enriquecimiento ilícito, </w:t>
      </w:r>
      <w:proofErr w:type="spellStart"/>
      <w:r w:rsidRPr="009B364B">
        <w:rPr>
          <w:rFonts w:ascii="Verdana" w:hAnsi="Verdana" w:cs="Arial"/>
          <w:bCs/>
          <w:sz w:val="20"/>
          <w:szCs w:val="20"/>
        </w:rPr>
        <w:t>testaferrato</w:t>
      </w:r>
      <w:proofErr w:type="spellEnd"/>
      <w:r w:rsidRPr="009B364B">
        <w:rPr>
          <w:rFonts w:ascii="Verdana" w:hAnsi="Verdana" w:cs="Arial"/>
          <w:bCs/>
          <w:sz w:val="20"/>
          <w:szCs w:val="20"/>
        </w:rPr>
        <w:t xml:space="preserve"> y conexos, y los que fueron de propiedad de la antigua Corporación Nacional de Turismo, hoy del Ministerio de Comercio, Industria y Turismo, serán administrados o enajenados por el Fondo Nacional de Turismo o la entidad pública que este contrate.</w:t>
      </w:r>
    </w:p>
    <w:p w14:paraId="2DC23521"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Ley 1952 de 2019. "Por medio de la cual se expide el código general disciplinario se derogan la ley 734 de 2002 y algunas disposiciones de la ley 1474 de 2011, relacionadas con el derecho disciplinario", el cual establece el régimen disciplinario de los servidores públicos señalando los derechos, deberes, prohibiciones y régimen de inhabilidades, incompatibilidades, impedimentos, conflicto de intereses y las sanciones disciplinarias que conlleva su incumplimiento.</w:t>
      </w:r>
    </w:p>
    <w:p w14:paraId="6AAD5D5D"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Ley 2294 de 2023. "Por el cual se expide el plan nacional de desarrollo 2022- 2026 "Colombia potencia mundial de la vida". En especial el artículo 330 y el parágrafo 3 del artículo 372, o la norma que lo modifique, sustituya o adicione:</w:t>
      </w:r>
    </w:p>
    <w:p w14:paraId="54D24625"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El artículo 330 de la ley 2294 de 2023, indica que:</w:t>
      </w:r>
    </w:p>
    <w:p w14:paraId="1300B8D5" w14:textId="1DBF7403"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Artículo 330. Modifíquese el artículo 238 de la Ley 1450 de 2011, el cual quedará así:</w:t>
      </w:r>
    </w:p>
    <w:p w14:paraId="3CF2BE2C"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r>
      <w:r w:rsidRPr="009B364B">
        <w:rPr>
          <w:rFonts w:ascii="Verdana" w:hAnsi="Verdana" w:cs="Arial"/>
          <w:bCs/>
          <w:sz w:val="20"/>
          <w:szCs w:val="20"/>
        </w:rPr>
        <w:br/>
        <w:t xml:space="preserve">Artículo 238. MOVILIZACIÓN DE ACTIVOS. A partir de la </w:t>
      </w:r>
      <w:proofErr w:type="gramStart"/>
      <w:r w:rsidRPr="009B364B">
        <w:rPr>
          <w:rFonts w:ascii="Verdana" w:hAnsi="Verdana" w:cs="Arial"/>
          <w:bCs/>
          <w:sz w:val="20"/>
          <w:szCs w:val="20"/>
        </w:rPr>
        <w:t>entrada en vigencia</w:t>
      </w:r>
      <w:proofErr w:type="gramEnd"/>
      <w:r w:rsidRPr="009B364B">
        <w:rPr>
          <w:rFonts w:ascii="Verdana" w:hAnsi="Verdana" w:cs="Arial"/>
          <w:bCs/>
          <w:sz w:val="20"/>
          <w:szCs w:val="20"/>
        </w:rPr>
        <w:t xml:space="preserve"> de la presente ley, todas las entidades públicas del orden nacional deberán transferir a la Central de Inversiones S.A -CISA-, a título </w:t>
      </w:r>
      <w:r w:rsidRPr="009B364B">
        <w:rPr>
          <w:rFonts w:ascii="Verdana" w:hAnsi="Verdana" w:cs="Arial"/>
          <w:bCs/>
          <w:sz w:val="20"/>
          <w:szCs w:val="20"/>
        </w:rPr>
        <w:lastRenderedPageBreak/>
        <w:t>gratuito y mediante acto administrativo, los bienes inmuebles, participaciones accionarias y activos de su propiedad que no requieran para el ejercicio de sus funciones. CISA podrá gestionarlos, comercializarlos o transferirlos a entidades públicas a cualquier título para el desarrollo de proyectos en el marco de la presente ley.</w:t>
      </w:r>
      <w:r w:rsidRPr="009B364B">
        <w:rPr>
          <w:rFonts w:ascii="Verdana" w:hAnsi="Verdana" w:cs="Arial"/>
          <w:bCs/>
          <w:sz w:val="20"/>
          <w:szCs w:val="20"/>
        </w:rPr>
        <w:br/>
      </w:r>
      <w:r w:rsidRPr="009B364B">
        <w:rPr>
          <w:rFonts w:ascii="Verdana" w:hAnsi="Verdana" w:cs="Arial"/>
          <w:bCs/>
          <w:sz w:val="20"/>
          <w:szCs w:val="20"/>
        </w:rPr>
        <w:br/>
        <w:t>El registro de la transferencia de los inmuebles entre las entidades públicas y CISA estará exento de los gastos e impuestos nacionales asociados a dicho acto.</w:t>
      </w:r>
    </w:p>
    <w:p w14:paraId="22CA0DC4"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Transfiérase a título gratuito a favor de Central de Inversiones S.A CISA las acciones de propiedad del Ministerio de Transporte en los Centros de Diagnóstico Automotor - CDA-, sociedades portuarias y terminales de transporte cuyas participaciones accionarias sean iguales o inferiores al 49%.</w:t>
      </w:r>
    </w:p>
    <w:p w14:paraId="13360B8C"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PARÁGRAFO PRIMERO. Las entidades financieras de carácter estatal, las Empresas Industriales y Comerciales del Estado, las Sociedades de Economía Mixta y las entidades en liquidación, podrán disponer de sus activos en los términos señalados en el presente artículo.</w:t>
      </w:r>
    </w:p>
    <w:p w14:paraId="7080CF96"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PARÁGRAFO SEGUNDO. Los inmuebles que se hubieran transferido por parte de las Entidades Públicas a CISA en virtud de este artículo y del artículo 26 de la Ley 1420 de 2010, que al 01 de junio de 2023 no hayan sido enajenados por CISA, podrán enajenarse por esta entidad de acuerdo con sus políticas y procedimientos.</w:t>
      </w:r>
      <w:r w:rsidRPr="009B364B">
        <w:rPr>
          <w:rFonts w:ascii="Verdana" w:hAnsi="Verdana" w:cs="Arial"/>
          <w:bCs/>
          <w:sz w:val="20"/>
          <w:szCs w:val="20"/>
        </w:rPr>
        <w:br/>
      </w:r>
      <w:r w:rsidRPr="009B364B">
        <w:rPr>
          <w:rFonts w:ascii="Verdana" w:hAnsi="Verdana" w:cs="Arial"/>
          <w:bCs/>
          <w:sz w:val="20"/>
          <w:szCs w:val="20"/>
        </w:rPr>
        <w:br/>
        <w:t>PARÁGRAFO TERCERO. Las entidades públicas podrán transferir a título gratuito a CISA los activos recibidos en virtud de la aplicación de cláusulas de reversión pactadas en sus contratos, así como autorizar la transferencia de activos remanentes de procesos de liquidación a favor de CISA como pago total o parcial de los créditos reconocidos en dichos procesos de liquidación cuando las entidades acreedoras hubieren sido reconocidas como tales.</w:t>
      </w:r>
    </w:p>
    <w:p w14:paraId="1760CF85"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PARÁGRAFO CUARTO. Los bienes gestionados y/o comercializados por CISA deberán contar con avalúo comercial, el cual tendrá una vigencia de tres (3) años, para lo cual se aplicará lo previsto en el parágrafo del artículo 92 de la ley 1708 de 2014. CISA podrá vender bienes inmuebles a entidades territoriales por el valor del avalúo catastral siempre y cuando sean requeridos para sedes administrativas o para el cumplimiento de metas de los Planes de Desarrollo Territorial.</w:t>
      </w:r>
    </w:p>
    <w:p w14:paraId="0B9991C7"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PARÁGRAFO QUINTO. Tratándose de entidades públicas que deban transferir activos a CISA, los cuales tengan gravámenes a favor de la nación en el marco de operaciones de crédito público, antes de realizar la transferencia deberán contar con el visto bueno previo de la Dirección General de Crédito Público y Tesoro Nacional del Ministerio de Hacienda y Crédito Público". (Subrayas fuera del texto).</w:t>
      </w:r>
    </w:p>
    <w:p w14:paraId="73B86436"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El parágrafo 3 del artículo 372 de la ley 2294 de 2023, señala que:</w:t>
      </w:r>
    </w:p>
    <w:p w14:paraId="675449AC" w14:textId="1D7A310C"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Artículo 372. VIGENCIAS Y DEROGATORIAS. La presente Ley rige a partir de su publicación y deroga todas las disposiciones que le sean contrarias.</w:t>
      </w:r>
    </w:p>
    <w:p w14:paraId="47087251" w14:textId="2A166A6A"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PARÁGRAFO TERCERO. Los bienes inmuebles actualmente administrados por FONTUR, en virtud del artículo 22 de la Ley 1558 de 2012 deberán ser transferidos a la SAE para su administración o enajenación.</w:t>
      </w:r>
    </w:p>
    <w:p w14:paraId="29BDECF0" w14:textId="76376AC8"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Decreto 1068 de 2015. "Por medio del cual se expide el Decreto Único Reglamentario del Sector Hacienda y Crédito Público". Compila disposiciones sobre la administración de bienes fiscales del Estado, incluyendo lineamientos para su enajenación, cesión o transferencia.</w:t>
      </w:r>
    </w:p>
    <w:p w14:paraId="62F234AC"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lastRenderedPageBreak/>
        <w:br/>
        <w:t>Decreto 1077 de 2015. "Por medio del cual se expide el Decreto Único Reglamentario del Sector Vivienda, Ciudad y Territorio." Reglamenta y complementa a las disposiciones de la Ley 388 de 1997.</w:t>
      </w:r>
    </w:p>
    <w:p w14:paraId="010E4EB7"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Decreto 1082 de 2015. "Por medio del cual se expide el decreto único reglamentario del sector Administrativo de Planeación Nacional", o norma que la modifique o sustituya, en especial los artículos de ser el caso:</w:t>
      </w:r>
    </w:p>
    <w:p w14:paraId="03A5EFE0"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Artículo 2.2.1.2.2.1.3. "Transferencia de bienes a CISA". La enajenación de bienes de las entidades estatales del orden nacional a la Central de Inversiones CISA S. A., de que trata el artículo 238 de la Ley 1450 de 2011 y el Decreto 047 de 2014 y las normas que los modifiquen, adicionen o sustituyan, debe hacerse de conformidad con las reglas establecidas en tales normas.</w:t>
      </w:r>
    </w:p>
    <w:p w14:paraId="0AEACF9F" w14:textId="77777777" w:rsidR="009B364B"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Artículo 2.2.1.2.2.1.4. "Enajenación directa o a través de intermediario idóneo". Las Entidades Estatales que no están obligadas a cumplir con lo establecido en el artículo anterior, pueden realizar directamente la enajenación, o contratar para ello promotores, bancas de inversión, martillos, comisionistas de bolsas de bienes y productos, o cualquier otro intermediario idóneo, según corresponda al tipo de bien a enajenar.</w:t>
      </w:r>
    </w:p>
    <w:p w14:paraId="55EE19E2" w14:textId="77777777" w:rsidR="00A25235"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Decreto 1499 de 2017. "Por medio del cual se modifica el Decreto 1083 de 2015, Decreto Único Reglamentario del Sector Función Pública, en lo relacionado con el Sistema de Gestión establecido en el artículo 133 de la Ley 1753 de 2015". Define lineamientos para la gestión de recursos físicos dentro del modelo de gestión pública, buscando eficiencia y transparencia.</w:t>
      </w:r>
    </w:p>
    <w:p w14:paraId="564B400F" w14:textId="07E421B7" w:rsidR="00C71896" w:rsidRDefault="009B364B" w:rsidP="00300B6F">
      <w:pPr>
        <w:spacing w:after="0" w:line="240" w:lineRule="auto"/>
        <w:jc w:val="both"/>
        <w:rPr>
          <w:rFonts w:ascii="Verdana" w:hAnsi="Verdana" w:cs="Arial"/>
          <w:bCs/>
          <w:sz w:val="20"/>
          <w:szCs w:val="20"/>
        </w:rPr>
      </w:pPr>
      <w:r w:rsidRPr="009B364B">
        <w:rPr>
          <w:rFonts w:ascii="Verdana" w:hAnsi="Verdana" w:cs="Arial"/>
          <w:bCs/>
          <w:sz w:val="20"/>
          <w:szCs w:val="20"/>
        </w:rPr>
        <w:br/>
        <w:t>Decreto 523 de 2021. "Por el cual se modifica el Decreto 1077 de 2015, Único Reglamentario del Sector Vivienda, Ciudad y Territorio, en lo relacionado con el saneamiento predial y la transferencia de bienes inmuebles fiscales".</w:t>
      </w:r>
    </w:p>
    <w:p w14:paraId="3F124B1B" w14:textId="18BB8665" w:rsidR="005334BA" w:rsidRPr="005334BA" w:rsidRDefault="005334BA" w:rsidP="005334BA">
      <w:pPr>
        <w:spacing w:after="0" w:line="240" w:lineRule="auto"/>
        <w:jc w:val="both"/>
        <w:rPr>
          <w:rFonts w:ascii="Verdana" w:hAnsi="Verdana" w:cs="Arial"/>
          <w:bCs/>
          <w:sz w:val="20"/>
          <w:szCs w:val="20"/>
        </w:rPr>
      </w:pPr>
    </w:p>
    <w:p w14:paraId="2732FBD8" w14:textId="12534477" w:rsidR="00E769B8" w:rsidRPr="00AA2563" w:rsidRDefault="00AA2563" w:rsidP="00AA2563">
      <w:pPr>
        <w:spacing w:after="0" w:line="240" w:lineRule="auto"/>
        <w:rPr>
          <w:rFonts w:ascii="Verdana" w:hAnsi="Verdana" w:cs="Arial"/>
          <w:b/>
          <w:sz w:val="20"/>
          <w:szCs w:val="20"/>
        </w:rPr>
      </w:pPr>
      <w:r>
        <w:rPr>
          <w:rFonts w:ascii="Verdana" w:hAnsi="Verdana" w:cs="Arial"/>
          <w:b/>
          <w:sz w:val="20"/>
          <w:szCs w:val="20"/>
        </w:rPr>
        <w:t>4.3</w:t>
      </w:r>
      <w:r>
        <w:rPr>
          <w:rFonts w:ascii="Verdana" w:hAnsi="Verdana" w:cs="Arial"/>
          <w:b/>
          <w:sz w:val="20"/>
          <w:szCs w:val="20"/>
        </w:rPr>
        <w:tab/>
      </w:r>
      <w:r w:rsidR="00E769B8" w:rsidRPr="00AA2563">
        <w:rPr>
          <w:rFonts w:ascii="Verdana" w:hAnsi="Verdana" w:cs="Arial"/>
          <w:b/>
          <w:sz w:val="20"/>
          <w:szCs w:val="20"/>
        </w:rPr>
        <w:t>RIESGOS   </w:t>
      </w:r>
      <w:r w:rsidR="00E769B8" w:rsidRPr="00AA2563">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ListParagraph"/>
        <w:spacing w:after="0" w:line="240" w:lineRule="auto"/>
        <w:jc w:val="both"/>
        <w:rPr>
          <w:rFonts w:ascii="Verdana" w:hAnsi="Verdana" w:cs="Arial"/>
          <w:bCs/>
          <w:sz w:val="20"/>
          <w:szCs w:val="20"/>
        </w:rPr>
      </w:pPr>
    </w:p>
    <w:p w14:paraId="0D94876D" w14:textId="77777777" w:rsidR="00E769B8" w:rsidRPr="0082647F"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4563F471">
      <w:pPr>
        <w:spacing w:after="0" w:line="240" w:lineRule="auto"/>
        <w:ind w:firstLine="708"/>
        <w:jc w:val="both"/>
        <w:rPr>
          <w:rFonts w:ascii="Verdana" w:eastAsia="Arial" w:hAnsi="Verdana" w:cs="Arial"/>
          <w:color w:val="00B050"/>
          <w:sz w:val="16"/>
          <w:szCs w:val="16"/>
        </w:rPr>
      </w:pPr>
      <w:r w:rsidRPr="4563F471">
        <w:rPr>
          <w:rFonts w:ascii="Verdana" w:hAnsi="Verdana" w:cs="Arial"/>
          <w:sz w:val="16"/>
          <w:szCs w:val="16"/>
        </w:rPr>
        <w:t>(</w:t>
      </w:r>
      <w:r w:rsidR="00666AB9" w:rsidRPr="4563F471">
        <w:rPr>
          <w:rFonts w:ascii="Verdana" w:hAnsi="Verdana" w:cs="Arial"/>
          <w:sz w:val="16"/>
          <w:szCs w:val="16"/>
        </w:rPr>
        <w:t>A</w:t>
      </w:r>
      <w:r w:rsidR="23555441" w:rsidRPr="4563F471">
        <w:rPr>
          <w:rFonts w:ascii="Verdana" w:hAnsi="Verdana" w:cs="Arial"/>
          <w:sz w:val="16"/>
          <w:szCs w:val="16"/>
        </w:rPr>
        <w:t xml:space="preserve"> </w:t>
      </w:r>
      <w:proofErr w:type="gramStart"/>
      <w:r w:rsidR="23555441" w:rsidRPr="4563F471">
        <w:rPr>
          <w:rFonts w:ascii="Verdana" w:hAnsi="Verdana" w:cs="Arial"/>
          <w:sz w:val="16"/>
          <w:szCs w:val="16"/>
        </w:rPr>
        <w:t>continuación</w:t>
      </w:r>
      <w:proofErr w:type="gramEnd"/>
      <w:r w:rsidRPr="4563F471">
        <w:rPr>
          <w:rFonts w:ascii="Verdana" w:hAnsi="Verdana" w:cs="Arial"/>
          <w:sz w:val="16"/>
          <w:szCs w:val="16"/>
        </w:rPr>
        <w:t xml:space="preserve"> se visualiza de manera gráfica y secuencial las actividades descritas en el numeral 6)</w:t>
      </w:r>
    </w:p>
    <w:p w14:paraId="595F0D8B" w14:textId="1BA899AC" w:rsidR="4563F471" w:rsidRDefault="4563F471" w:rsidP="4563F471">
      <w:pPr>
        <w:spacing w:after="0" w:line="240" w:lineRule="auto"/>
        <w:ind w:firstLine="708"/>
        <w:jc w:val="both"/>
        <w:rPr>
          <w:rFonts w:ascii="Verdana" w:hAnsi="Verdana" w:cs="Arial"/>
          <w:sz w:val="16"/>
          <w:szCs w:val="16"/>
        </w:rPr>
      </w:pPr>
    </w:p>
    <w:p w14:paraId="46A8B6C8" w14:textId="6AD8BE2E" w:rsidR="4563F471" w:rsidRDefault="4563F471" w:rsidP="4563F471">
      <w:pPr>
        <w:spacing w:after="0" w:line="240" w:lineRule="auto"/>
        <w:ind w:firstLine="708"/>
        <w:jc w:val="both"/>
        <w:rPr>
          <w:rFonts w:ascii="Verdana" w:hAnsi="Verdana" w:cs="Arial"/>
          <w:sz w:val="16"/>
          <w:szCs w:val="16"/>
        </w:rPr>
      </w:pPr>
    </w:p>
    <w:p w14:paraId="6CB20608" w14:textId="6E3C4FC6" w:rsidR="4563F471" w:rsidRDefault="4563F471" w:rsidP="4563F471">
      <w:pPr>
        <w:spacing w:after="0" w:line="240" w:lineRule="auto"/>
        <w:jc w:val="both"/>
        <w:rPr>
          <w:rFonts w:ascii="Verdana" w:hAnsi="Verdana" w:cs="Arial"/>
          <w:sz w:val="16"/>
          <w:szCs w:val="16"/>
        </w:rPr>
      </w:pPr>
    </w:p>
    <w:p w14:paraId="246C6F6E" w14:textId="69F347E5" w:rsidR="4563F471" w:rsidRDefault="4563F471" w:rsidP="4563F471">
      <w:pPr>
        <w:spacing w:after="0" w:line="240" w:lineRule="auto"/>
        <w:jc w:val="both"/>
        <w:rPr>
          <w:rFonts w:ascii="Verdana" w:hAnsi="Verdana" w:cs="Arial"/>
          <w:sz w:val="16"/>
          <w:szCs w:val="16"/>
        </w:rPr>
      </w:pPr>
    </w:p>
    <w:p w14:paraId="5DC8B6F4" w14:textId="3C152216" w:rsidR="4563F471" w:rsidRDefault="4563F471" w:rsidP="4563F471">
      <w:pPr>
        <w:spacing w:after="0" w:line="240" w:lineRule="auto"/>
        <w:jc w:val="both"/>
        <w:rPr>
          <w:rFonts w:ascii="Verdana" w:hAnsi="Verdana" w:cs="Arial"/>
          <w:sz w:val="16"/>
          <w:szCs w:val="16"/>
        </w:rPr>
      </w:pPr>
    </w:p>
    <w:p w14:paraId="689B6D0B" w14:textId="21C815F9" w:rsidR="4563F471" w:rsidRDefault="4563F471" w:rsidP="4563F471">
      <w:pPr>
        <w:spacing w:after="0" w:line="240" w:lineRule="auto"/>
        <w:jc w:val="both"/>
        <w:rPr>
          <w:rFonts w:ascii="Verdana" w:hAnsi="Verdana" w:cs="Arial"/>
          <w:sz w:val="16"/>
          <w:szCs w:val="16"/>
        </w:rPr>
      </w:pPr>
    </w:p>
    <w:p w14:paraId="240F6825" w14:textId="51CD3858" w:rsidR="4563F471" w:rsidRDefault="4563F471" w:rsidP="4563F471">
      <w:pPr>
        <w:spacing w:after="0" w:line="240" w:lineRule="auto"/>
        <w:jc w:val="both"/>
        <w:rPr>
          <w:rFonts w:ascii="Verdana" w:hAnsi="Verdana" w:cs="Arial"/>
          <w:sz w:val="16"/>
          <w:szCs w:val="16"/>
        </w:rPr>
      </w:pPr>
    </w:p>
    <w:p w14:paraId="01586D61" w14:textId="43496079" w:rsidR="4563F471" w:rsidRDefault="4563F471" w:rsidP="4563F471">
      <w:pPr>
        <w:spacing w:after="0" w:line="240" w:lineRule="auto"/>
        <w:jc w:val="both"/>
        <w:rPr>
          <w:rFonts w:ascii="Verdana" w:hAnsi="Verdana" w:cs="Arial"/>
          <w:sz w:val="16"/>
          <w:szCs w:val="16"/>
        </w:rPr>
      </w:pPr>
    </w:p>
    <w:p w14:paraId="226F6040" w14:textId="6D60A750" w:rsidR="4563F471" w:rsidRDefault="4563F471" w:rsidP="4563F471">
      <w:pPr>
        <w:spacing w:after="0" w:line="240" w:lineRule="auto"/>
        <w:jc w:val="both"/>
        <w:rPr>
          <w:rFonts w:ascii="Verdana" w:hAnsi="Verdana" w:cs="Arial"/>
          <w:sz w:val="16"/>
          <w:szCs w:val="16"/>
        </w:rPr>
      </w:pPr>
    </w:p>
    <w:p w14:paraId="09995B96" w14:textId="738085CA" w:rsidR="4563F471" w:rsidRDefault="4563F471" w:rsidP="4563F471">
      <w:pPr>
        <w:spacing w:after="0" w:line="240" w:lineRule="auto"/>
        <w:jc w:val="both"/>
        <w:rPr>
          <w:rFonts w:ascii="Verdana" w:hAnsi="Verdana" w:cs="Arial"/>
          <w:sz w:val="16"/>
          <w:szCs w:val="16"/>
        </w:rPr>
      </w:pPr>
    </w:p>
    <w:p w14:paraId="2F6DD201" w14:textId="273D0B53" w:rsidR="4563F471" w:rsidRDefault="4563F471" w:rsidP="4563F471">
      <w:pPr>
        <w:spacing w:after="0" w:line="240" w:lineRule="auto"/>
        <w:jc w:val="both"/>
        <w:rPr>
          <w:rFonts w:ascii="Verdana" w:hAnsi="Verdana" w:cs="Arial"/>
          <w:sz w:val="16"/>
          <w:szCs w:val="16"/>
        </w:rPr>
      </w:pPr>
    </w:p>
    <w:p w14:paraId="2820DF5F" w14:textId="0074E70E" w:rsidR="4563F471" w:rsidRDefault="4563F471" w:rsidP="4563F471">
      <w:pPr>
        <w:spacing w:after="0" w:line="240" w:lineRule="auto"/>
        <w:jc w:val="both"/>
        <w:rPr>
          <w:rFonts w:ascii="Verdana" w:hAnsi="Verdana" w:cs="Arial"/>
          <w:sz w:val="16"/>
          <w:szCs w:val="16"/>
        </w:rPr>
      </w:pPr>
    </w:p>
    <w:p w14:paraId="37A92A9C" w14:textId="5099B575" w:rsidR="4563F471" w:rsidRDefault="4563F471" w:rsidP="4563F471">
      <w:pPr>
        <w:spacing w:after="0" w:line="240" w:lineRule="auto"/>
        <w:jc w:val="both"/>
        <w:rPr>
          <w:rFonts w:ascii="Verdana" w:hAnsi="Verdana" w:cs="Arial"/>
          <w:sz w:val="16"/>
          <w:szCs w:val="16"/>
        </w:rPr>
      </w:pPr>
    </w:p>
    <w:p w14:paraId="3259D810" w14:textId="5FB6C259" w:rsidR="4563F471" w:rsidRDefault="4563F471" w:rsidP="4563F471">
      <w:pPr>
        <w:spacing w:after="0" w:line="240" w:lineRule="auto"/>
        <w:jc w:val="both"/>
        <w:rPr>
          <w:rFonts w:ascii="Verdana" w:hAnsi="Verdana" w:cs="Arial"/>
          <w:sz w:val="16"/>
          <w:szCs w:val="16"/>
        </w:rPr>
      </w:pPr>
    </w:p>
    <w:p w14:paraId="5396F711" w14:textId="482D02C6" w:rsidR="4563F471" w:rsidRDefault="4563F471" w:rsidP="4563F471">
      <w:pPr>
        <w:spacing w:after="0" w:line="240" w:lineRule="auto"/>
        <w:jc w:val="both"/>
        <w:rPr>
          <w:rFonts w:ascii="Verdana" w:hAnsi="Verdana" w:cs="Arial"/>
          <w:sz w:val="16"/>
          <w:szCs w:val="16"/>
        </w:rPr>
      </w:pPr>
    </w:p>
    <w:p w14:paraId="59818EAF" w14:textId="75A35FF8" w:rsidR="4563F471" w:rsidRDefault="4563F471" w:rsidP="4563F471">
      <w:pPr>
        <w:spacing w:after="0" w:line="240" w:lineRule="auto"/>
        <w:jc w:val="both"/>
        <w:rPr>
          <w:rFonts w:ascii="Verdana" w:hAnsi="Verdana" w:cs="Arial"/>
          <w:sz w:val="16"/>
          <w:szCs w:val="16"/>
        </w:rPr>
      </w:pPr>
    </w:p>
    <w:p w14:paraId="631632C0" w14:textId="2FC494D2" w:rsidR="4563F471" w:rsidRDefault="4563F471" w:rsidP="4563F471">
      <w:pPr>
        <w:spacing w:after="0" w:line="240" w:lineRule="auto"/>
        <w:jc w:val="both"/>
        <w:rPr>
          <w:rFonts w:ascii="Verdana" w:hAnsi="Verdana" w:cs="Arial"/>
          <w:sz w:val="16"/>
          <w:szCs w:val="16"/>
        </w:rPr>
      </w:pPr>
    </w:p>
    <w:p w14:paraId="32C509E5" w14:textId="400C4F7C" w:rsidR="4563F471" w:rsidRDefault="4563F471" w:rsidP="4563F471">
      <w:pPr>
        <w:spacing w:after="0" w:line="240" w:lineRule="auto"/>
        <w:jc w:val="both"/>
        <w:rPr>
          <w:rFonts w:ascii="Verdana" w:hAnsi="Verdana" w:cs="Arial"/>
          <w:sz w:val="16"/>
          <w:szCs w:val="16"/>
        </w:rPr>
      </w:pPr>
    </w:p>
    <w:p w14:paraId="78A6C231" w14:textId="0BFAFF0C" w:rsidR="15CE6149" w:rsidRDefault="15CE6149" w:rsidP="4563F471">
      <w:pPr>
        <w:spacing w:after="0" w:line="240" w:lineRule="auto"/>
        <w:jc w:val="center"/>
      </w:pPr>
      <w:r>
        <w:rPr>
          <w:noProof/>
        </w:rPr>
        <w:drawing>
          <wp:inline distT="0" distB="0" distL="0" distR="0" wp14:anchorId="699DB438" wp14:editId="16007F64">
            <wp:extent cx="5553075" cy="6858000"/>
            <wp:effectExtent l="0" t="0" r="0" b="0"/>
            <wp:docPr id="11276813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81357" name="Picture 1127681357"/>
                    <pic:cNvPicPr/>
                  </pic:nvPicPr>
                  <pic:blipFill>
                    <a:blip r:embed="rId11">
                      <a:extLst>
                        <a:ext uri="{28A0092B-C50C-407E-A947-70E740481C1C}">
                          <a14:useLocalDpi xmlns:a14="http://schemas.microsoft.com/office/drawing/2010/main"/>
                        </a:ext>
                      </a:extLst>
                    </a:blip>
                    <a:stretch>
                      <a:fillRect/>
                    </a:stretch>
                  </pic:blipFill>
                  <pic:spPr>
                    <a:xfrm>
                      <a:off x="0" y="0"/>
                      <a:ext cx="5553075" cy="6858000"/>
                    </a:xfrm>
                    <a:prstGeom prst="rect">
                      <a:avLst/>
                    </a:prstGeom>
                  </pic:spPr>
                </pic:pic>
              </a:graphicData>
            </a:graphic>
          </wp:inline>
        </w:drawing>
      </w: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620"/>
        <w:gridCol w:w="2032"/>
        <w:gridCol w:w="4970"/>
        <w:gridCol w:w="1581"/>
      </w:tblGrid>
      <w:tr w:rsidR="00AA2563" w:rsidRPr="00666AB9" w14:paraId="127FA709" w14:textId="77777777" w:rsidTr="3E48EDB1">
        <w:trPr>
          <w:trHeight w:val="17"/>
          <w:tblHeader/>
        </w:trPr>
        <w:tc>
          <w:tcPr>
            <w:tcW w:w="565"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lastRenderedPageBreak/>
              <w:t>No.</w:t>
            </w:r>
          </w:p>
        </w:tc>
        <w:tc>
          <w:tcPr>
            <w:tcW w:w="1620"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3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70"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81"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E304B4" w:rsidRPr="00AA2563" w14:paraId="63F6096D" w14:textId="77777777" w:rsidTr="3E48EDB1">
        <w:trPr>
          <w:trHeight w:val="545"/>
        </w:trPr>
        <w:tc>
          <w:tcPr>
            <w:tcW w:w="565" w:type="dxa"/>
            <w:tcBorders>
              <w:bottom w:val="single" w:sz="4" w:space="0" w:color="auto"/>
            </w:tcBorders>
            <w:tcMar>
              <w:top w:w="57" w:type="dxa"/>
              <w:left w:w="113" w:type="dxa"/>
              <w:bottom w:w="57" w:type="dxa"/>
            </w:tcMar>
            <w:vAlign w:val="center"/>
          </w:tcPr>
          <w:p w14:paraId="4637AD1B" w14:textId="50F21867" w:rsidR="00E304B4" w:rsidRPr="00666AB9" w:rsidRDefault="00E304B4" w:rsidP="00E304B4">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20" w:type="dxa"/>
            <w:tcBorders>
              <w:bottom w:val="single" w:sz="4" w:space="0" w:color="auto"/>
            </w:tcBorders>
            <w:tcMar>
              <w:top w:w="57" w:type="dxa"/>
              <w:left w:w="113" w:type="dxa"/>
              <w:bottom w:w="57" w:type="dxa"/>
            </w:tcMar>
            <w:vAlign w:val="center"/>
          </w:tcPr>
          <w:p w14:paraId="60F8BE6C" w14:textId="415BA23B" w:rsidR="00E304B4" w:rsidRPr="00E304B4" w:rsidRDefault="5050DDC2" w:rsidP="06E2C765">
            <w:pPr>
              <w:spacing w:after="0" w:line="240" w:lineRule="auto"/>
              <w:ind w:left="-15"/>
              <w:rPr>
                <w:rFonts w:ascii="Verdana" w:eastAsia="Times New Roman" w:hAnsi="Verdana" w:cs="Arial"/>
                <w:color w:val="000000" w:themeColor="text1"/>
                <w:sz w:val="16"/>
                <w:szCs w:val="16"/>
                <w:lang w:eastAsia="es-CO"/>
              </w:rPr>
            </w:pPr>
            <w:r w:rsidRPr="4563F471">
              <w:rPr>
                <w:rFonts w:ascii="Verdana" w:eastAsia="Times New Roman" w:hAnsi="Verdana" w:cs="Arial"/>
                <w:color w:val="000000" w:themeColor="text1"/>
                <w:sz w:val="16"/>
                <w:szCs w:val="16"/>
                <w:lang w:eastAsia="es-CO"/>
              </w:rPr>
              <w:t>(P)Identificar los Bienes Inmuebles de propiedad del MinCIT</w:t>
            </w:r>
          </w:p>
        </w:tc>
        <w:tc>
          <w:tcPr>
            <w:tcW w:w="2032" w:type="dxa"/>
            <w:tcBorders>
              <w:bottom w:val="single" w:sz="4" w:space="0" w:color="auto"/>
            </w:tcBorders>
            <w:tcMar>
              <w:top w:w="57" w:type="dxa"/>
              <w:left w:w="113" w:type="dxa"/>
              <w:bottom w:w="57" w:type="dxa"/>
            </w:tcMar>
            <w:vAlign w:val="center"/>
          </w:tcPr>
          <w:p w14:paraId="03FA381E" w14:textId="2EC94B58" w:rsidR="00E304B4" w:rsidRPr="00E304B4" w:rsidRDefault="68A25C87" w:rsidP="00E304B4">
            <w:pPr>
              <w:spacing w:after="0" w:line="240" w:lineRule="auto"/>
              <w:ind w:left="-15"/>
              <w:jc w:val="center"/>
              <w:rPr>
                <w:rFonts w:ascii="Verdana" w:hAnsi="Verdana" w:cs="Arial"/>
                <w:sz w:val="16"/>
                <w:szCs w:val="16"/>
              </w:rPr>
            </w:pPr>
            <w:r w:rsidRPr="06E2C765">
              <w:rPr>
                <w:rFonts w:ascii="Verdana" w:eastAsia="Times New Roman" w:hAnsi="Verdana" w:cs="Arial"/>
                <w:color w:val="000000" w:themeColor="text1"/>
                <w:sz w:val="16"/>
                <w:szCs w:val="16"/>
                <w:lang w:eastAsia="es-CO"/>
              </w:rPr>
              <w:t>Profesional(es), Técnico de apoyo Administración de Bienes</w:t>
            </w:r>
          </w:p>
        </w:tc>
        <w:tc>
          <w:tcPr>
            <w:tcW w:w="4970" w:type="dxa"/>
            <w:tcBorders>
              <w:bottom w:val="single" w:sz="4" w:space="0" w:color="auto"/>
            </w:tcBorders>
            <w:tcMar>
              <w:top w:w="57" w:type="dxa"/>
              <w:left w:w="113" w:type="dxa"/>
              <w:bottom w:w="57" w:type="dxa"/>
            </w:tcMar>
            <w:vAlign w:val="center"/>
          </w:tcPr>
          <w:p w14:paraId="21E2E866" w14:textId="00686D14" w:rsidR="00E304B4" w:rsidRPr="00E304B4" w:rsidRDefault="3150DB79" w:rsidP="06E2C765">
            <w:pPr>
              <w:spacing w:after="0" w:line="240" w:lineRule="auto"/>
              <w:jc w:val="both"/>
              <w:rPr>
                <w:rFonts w:ascii="Verdana" w:hAnsi="Verdana" w:cs="Arial"/>
                <w:b/>
                <w:bCs/>
                <w:sz w:val="16"/>
                <w:szCs w:val="16"/>
              </w:rPr>
            </w:pPr>
            <w:r w:rsidRPr="06E2C765">
              <w:rPr>
                <w:rFonts w:ascii="Verdana" w:eastAsia="Times New Roman" w:hAnsi="Verdana" w:cs="Arial"/>
                <w:color w:val="000000" w:themeColor="text1"/>
                <w:sz w:val="16"/>
                <w:szCs w:val="16"/>
                <w:lang w:eastAsia="es-CO"/>
              </w:rPr>
              <w:t>Revisar anualmente dentro de los tres primeros meses de cada año la documentación referente a los Bienes Inmuebles de propiedad del MinCIT.</w:t>
            </w:r>
          </w:p>
          <w:p w14:paraId="220445FF" w14:textId="282C18AB" w:rsidR="00E304B4" w:rsidRPr="00E304B4" w:rsidRDefault="00E304B4" w:rsidP="00E304B4">
            <w:pPr>
              <w:spacing w:after="0" w:line="240" w:lineRule="auto"/>
              <w:jc w:val="both"/>
              <w:rPr>
                <w:rFonts w:ascii="Verdana" w:hAnsi="Verdana" w:cs="Arial"/>
                <w:b/>
                <w:bCs/>
                <w:sz w:val="16"/>
                <w:szCs w:val="16"/>
              </w:rPr>
            </w:pPr>
            <w:r>
              <w:br/>
            </w:r>
            <w:r w:rsidR="3150DB79" w:rsidRPr="06E2C765">
              <w:rPr>
                <w:rFonts w:ascii="Verdana" w:eastAsia="Times New Roman" w:hAnsi="Verdana" w:cs="Arial"/>
                <w:color w:val="000000" w:themeColor="text1"/>
                <w:sz w:val="16"/>
                <w:szCs w:val="16"/>
                <w:lang w:eastAsia="es-CO"/>
              </w:rPr>
              <w:t>Además, se identifican cuáles de estos son susceptibles que se aplique el mecanismo de destinación o de disposición final de trasferencia a título gratuito o enajenación a título gratuito entre Entidades del Estado, o el mecanismo de destinación final de transferencia a CISA o la entidad que reemplace, o Entidad que disponga la ley; toda vez que no son necesarios para el desarrollo de las funciones del Ministerio, ni se encuentran incluidos en el plan de enajenación onerosa.</w:t>
            </w:r>
            <w:r>
              <w:br/>
            </w:r>
            <w:r>
              <w:br/>
            </w:r>
            <w:r w:rsidR="3150DB79" w:rsidRPr="06E2C765">
              <w:rPr>
                <w:rFonts w:ascii="Verdana" w:eastAsia="Times New Roman" w:hAnsi="Verdana" w:cs="Arial"/>
                <w:b/>
                <w:bCs/>
                <w:color w:val="000000" w:themeColor="text1"/>
                <w:sz w:val="16"/>
                <w:szCs w:val="16"/>
                <w:lang w:eastAsia="es-CO"/>
              </w:rPr>
              <w:t xml:space="preserve">Tiempo: </w:t>
            </w:r>
            <w:r w:rsidR="3150DB79" w:rsidRPr="06E2C765">
              <w:rPr>
                <w:rFonts w:ascii="Verdana" w:eastAsia="Times New Roman" w:hAnsi="Verdana" w:cs="Arial"/>
                <w:color w:val="000000" w:themeColor="text1"/>
                <w:sz w:val="16"/>
                <w:szCs w:val="16"/>
                <w:lang w:eastAsia="es-CO"/>
              </w:rPr>
              <w:t>Una vez al año dentro de los 3 primeros meses de cada vigencia, o conforme el estudio de cada bien en particular durante el transcurso de la vigencia o cambios directivos</w:t>
            </w:r>
          </w:p>
        </w:tc>
        <w:tc>
          <w:tcPr>
            <w:tcW w:w="1581" w:type="dxa"/>
            <w:tcBorders>
              <w:bottom w:val="single" w:sz="4" w:space="0" w:color="auto"/>
            </w:tcBorders>
            <w:tcMar>
              <w:top w:w="57" w:type="dxa"/>
              <w:left w:w="113" w:type="dxa"/>
              <w:bottom w:w="57" w:type="dxa"/>
            </w:tcMar>
            <w:vAlign w:val="center"/>
          </w:tcPr>
          <w:p w14:paraId="18FE0442" w14:textId="50A0BB37" w:rsidR="00E304B4" w:rsidRPr="00E304B4" w:rsidRDefault="13100010" w:rsidP="06E2C765">
            <w:pPr>
              <w:spacing w:after="0" w:line="240" w:lineRule="auto"/>
              <w:ind w:left="-15"/>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Informe por parte de Grupo Administrativa.</w:t>
            </w:r>
          </w:p>
        </w:tc>
      </w:tr>
      <w:tr w:rsidR="00E304B4" w:rsidRPr="00666AB9" w14:paraId="4CEBB8BC" w14:textId="77777777" w:rsidTr="3E48EDB1">
        <w:trPr>
          <w:trHeight w:val="545"/>
        </w:trPr>
        <w:tc>
          <w:tcPr>
            <w:tcW w:w="565" w:type="dxa"/>
            <w:tcBorders>
              <w:bottom w:val="single" w:sz="4" w:space="0" w:color="auto"/>
            </w:tcBorders>
            <w:tcMar>
              <w:top w:w="57" w:type="dxa"/>
              <w:left w:w="113" w:type="dxa"/>
              <w:bottom w:w="57" w:type="dxa"/>
            </w:tcMar>
            <w:vAlign w:val="center"/>
          </w:tcPr>
          <w:p w14:paraId="54C993CD" w14:textId="729F18C8" w:rsidR="00E304B4" w:rsidRPr="00666AB9" w:rsidRDefault="00E304B4" w:rsidP="00E304B4">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20" w:type="dxa"/>
            <w:tcBorders>
              <w:bottom w:val="single" w:sz="4" w:space="0" w:color="auto"/>
            </w:tcBorders>
            <w:tcMar>
              <w:top w:w="57" w:type="dxa"/>
              <w:left w:w="113" w:type="dxa"/>
              <w:bottom w:w="57" w:type="dxa"/>
            </w:tcMar>
            <w:vAlign w:val="center"/>
          </w:tcPr>
          <w:p w14:paraId="54380C58" w14:textId="145657CB" w:rsidR="00E304B4" w:rsidRPr="00E304B4" w:rsidRDefault="5DEA5BE8" w:rsidP="546A49A2">
            <w:pPr>
              <w:spacing w:after="0" w:line="240" w:lineRule="auto"/>
              <w:ind w:left="-15"/>
              <w:rPr>
                <w:rFonts w:ascii="Verdana" w:hAnsi="Verdana" w:cs="Arial"/>
                <w:sz w:val="16"/>
                <w:szCs w:val="16"/>
              </w:rPr>
            </w:pPr>
            <w:r w:rsidRPr="546A49A2">
              <w:rPr>
                <w:rFonts w:ascii="Verdana" w:eastAsia="Times New Roman" w:hAnsi="Verdana" w:cs="Arial"/>
                <w:color w:val="000000" w:themeColor="text1"/>
                <w:sz w:val="16"/>
                <w:szCs w:val="16"/>
                <w:lang w:eastAsia="es-CO"/>
              </w:rPr>
              <w:t>(H) Realizar reunión del Comité de Bienes</w:t>
            </w:r>
          </w:p>
        </w:tc>
        <w:tc>
          <w:tcPr>
            <w:tcW w:w="2032" w:type="dxa"/>
            <w:tcBorders>
              <w:bottom w:val="single" w:sz="4" w:space="0" w:color="auto"/>
            </w:tcBorders>
            <w:tcMar>
              <w:top w:w="57" w:type="dxa"/>
              <w:left w:w="113" w:type="dxa"/>
              <w:bottom w:w="57" w:type="dxa"/>
            </w:tcMar>
            <w:vAlign w:val="center"/>
          </w:tcPr>
          <w:p w14:paraId="053E62E4" w14:textId="249471FE" w:rsidR="00E304B4" w:rsidRPr="00E304B4" w:rsidRDefault="620E535A" w:rsidP="00E304B4">
            <w:pPr>
              <w:spacing w:after="0" w:line="240" w:lineRule="auto"/>
              <w:ind w:left="-15"/>
              <w:jc w:val="center"/>
              <w:rPr>
                <w:rFonts w:ascii="Verdana" w:hAnsi="Verdana" w:cs="Arial"/>
                <w:sz w:val="16"/>
                <w:szCs w:val="16"/>
              </w:rPr>
            </w:pPr>
            <w:r w:rsidRPr="06E2C765">
              <w:rPr>
                <w:rFonts w:ascii="Verdana" w:eastAsia="Times New Roman" w:hAnsi="Verdana" w:cs="Arial"/>
                <w:color w:val="000000" w:themeColor="text1"/>
                <w:sz w:val="16"/>
                <w:szCs w:val="16"/>
                <w:lang w:eastAsia="es-CO"/>
              </w:rPr>
              <w:t>Comité de Bienes, inventarios y comercialización del MinCIT</w:t>
            </w:r>
          </w:p>
        </w:tc>
        <w:tc>
          <w:tcPr>
            <w:tcW w:w="4970" w:type="dxa"/>
            <w:tcBorders>
              <w:bottom w:val="single" w:sz="4" w:space="0" w:color="auto"/>
            </w:tcBorders>
            <w:tcMar>
              <w:top w:w="57" w:type="dxa"/>
              <w:left w:w="113" w:type="dxa"/>
              <w:bottom w:w="57" w:type="dxa"/>
            </w:tcMar>
            <w:vAlign w:val="center"/>
          </w:tcPr>
          <w:p w14:paraId="45646CEA" w14:textId="3C3575D8" w:rsidR="00E304B4" w:rsidRPr="00E304B4" w:rsidRDefault="096578F5" w:rsidP="00E304B4">
            <w:pPr>
              <w:spacing w:after="0" w:line="240" w:lineRule="auto"/>
              <w:ind w:left="-15"/>
              <w:jc w:val="both"/>
              <w:rPr>
                <w:rFonts w:ascii="Verdana" w:hAnsi="Verdana" w:cs="Arial"/>
                <w:sz w:val="16"/>
                <w:szCs w:val="16"/>
              </w:rPr>
            </w:pPr>
            <w:r w:rsidRPr="06E2C765">
              <w:rPr>
                <w:rFonts w:ascii="Verdana" w:eastAsia="Times New Roman" w:hAnsi="Verdana" w:cs="Arial"/>
                <w:color w:val="000000" w:themeColor="text1"/>
                <w:sz w:val="16"/>
                <w:szCs w:val="16"/>
                <w:lang w:eastAsia="es-CO"/>
              </w:rPr>
              <w:t>Desarrollar el análisis y estudio para la identificación de los Bienes Inmuebles de su propiedad que son susceptibles de el mecanismo de destinación o de disposición final de trasferencia a título gratuito o enajenación a título gratuito entre Entidades del Estado, o el mecanismo de destinación final de transferencia a CISA o la entidad que reemplace, o Entidad que disponga la ley,</w:t>
            </w:r>
            <w:r w:rsidR="3665C534" w:rsidRPr="06E2C765">
              <w:rPr>
                <w:rFonts w:ascii="Verdana" w:eastAsia="Times New Roman" w:hAnsi="Verdana" w:cs="Arial"/>
                <w:color w:val="000000" w:themeColor="text1"/>
                <w:sz w:val="16"/>
                <w:szCs w:val="16"/>
                <w:lang w:eastAsia="es-CO"/>
              </w:rPr>
              <w:t xml:space="preserve"> </w:t>
            </w:r>
            <w:r w:rsidRPr="06E2C765">
              <w:rPr>
                <w:rFonts w:ascii="Verdana" w:eastAsia="Times New Roman" w:hAnsi="Verdana" w:cs="Arial"/>
                <w:color w:val="000000" w:themeColor="text1"/>
                <w:sz w:val="16"/>
                <w:szCs w:val="16"/>
                <w:lang w:eastAsia="es-CO"/>
              </w:rPr>
              <w:t>y se expide el acta que orden dar de baja los bienes y el mecanismo de disposición final a través de su transferencia.</w:t>
            </w:r>
            <w:r w:rsidR="00E304B4">
              <w:br/>
            </w:r>
            <w:r w:rsidR="00E304B4">
              <w:br/>
            </w:r>
            <w:r w:rsidRPr="06E2C765">
              <w:rPr>
                <w:rFonts w:ascii="Verdana" w:eastAsia="Times New Roman" w:hAnsi="Verdana" w:cs="Arial"/>
                <w:b/>
                <w:bCs/>
                <w:color w:val="000000" w:themeColor="text1"/>
                <w:sz w:val="16"/>
                <w:szCs w:val="16"/>
                <w:lang w:eastAsia="es-CO"/>
              </w:rPr>
              <w:t xml:space="preserve">Tiempo: </w:t>
            </w:r>
            <w:r w:rsidRPr="06E2C765">
              <w:rPr>
                <w:rFonts w:ascii="Verdana" w:eastAsia="Times New Roman" w:hAnsi="Verdana" w:cs="Arial"/>
                <w:color w:val="000000" w:themeColor="text1"/>
                <w:sz w:val="16"/>
                <w:szCs w:val="16"/>
                <w:lang w:eastAsia="es-CO"/>
              </w:rPr>
              <w:t xml:space="preserve">1 </w:t>
            </w:r>
            <w:r w:rsidR="5ABB494D" w:rsidRPr="06E2C765">
              <w:rPr>
                <w:rFonts w:ascii="Verdana" w:eastAsia="Times New Roman" w:hAnsi="Verdana" w:cs="Arial"/>
                <w:color w:val="000000" w:themeColor="text1"/>
                <w:sz w:val="16"/>
                <w:szCs w:val="16"/>
                <w:lang w:eastAsia="es-CO"/>
              </w:rPr>
              <w:t>semana</w:t>
            </w:r>
            <w:r w:rsidRPr="06E2C765">
              <w:rPr>
                <w:rFonts w:ascii="Verdana" w:eastAsia="Times New Roman" w:hAnsi="Verdana" w:cs="Arial"/>
                <w:color w:val="000000" w:themeColor="text1"/>
                <w:sz w:val="16"/>
                <w:szCs w:val="16"/>
                <w:lang w:eastAsia="es-CO"/>
              </w:rPr>
              <w:t>.</w:t>
            </w:r>
          </w:p>
        </w:tc>
        <w:tc>
          <w:tcPr>
            <w:tcW w:w="1581" w:type="dxa"/>
            <w:tcBorders>
              <w:bottom w:val="single" w:sz="4" w:space="0" w:color="auto"/>
            </w:tcBorders>
            <w:tcMar>
              <w:top w:w="57" w:type="dxa"/>
              <w:left w:w="113" w:type="dxa"/>
              <w:bottom w:w="57" w:type="dxa"/>
            </w:tcMar>
            <w:vAlign w:val="center"/>
          </w:tcPr>
          <w:p w14:paraId="38B32DAB" w14:textId="7683EDDB" w:rsidR="00E304B4" w:rsidRPr="00E304B4" w:rsidRDefault="158FBAD3" w:rsidP="30FD5825">
            <w:pPr>
              <w:spacing w:after="0" w:line="240" w:lineRule="auto"/>
              <w:ind w:left="-15"/>
              <w:jc w:val="center"/>
              <w:rPr>
                <w:rFonts w:ascii="Verdana" w:eastAsia="Times New Roman" w:hAnsi="Verdana" w:cs="Arial"/>
                <w:color w:val="000000" w:themeColor="text1"/>
                <w:sz w:val="16"/>
                <w:szCs w:val="16"/>
                <w:lang w:eastAsia="es-CO"/>
              </w:rPr>
            </w:pPr>
            <w:r w:rsidRPr="3E48EDB1">
              <w:rPr>
                <w:rFonts w:ascii="Verdana" w:eastAsia="Times New Roman" w:hAnsi="Verdana" w:cs="Arial"/>
                <w:color w:val="000000" w:themeColor="text1"/>
                <w:sz w:val="16"/>
                <w:szCs w:val="16"/>
                <w:lang w:eastAsia="es-CO"/>
              </w:rPr>
              <w:t>GD-F</w:t>
            </w:r>
            <w:r w:rsidR="51FF82F8" w:rsidRPr="3E48EDB1">
              <w:rPr>
                <w:rFonts w:ascii="Verdana" w:eastAsia="Times New Roman" w:hAnsi="Verdana" w:cs="Arial"/>
                <w:color w:val="000000" w:themeColor="text1"/>
                <w:sz w:val="16"/>
                <w:szCs w:val="16"/>
                <w:lang w:eastAsia="es-CO"/>
              </w:rPr>
              <w:t>M</w:t>
            </w:r>
            <w:r w:rsidRPr="3E48EDB1">
              <w:rPr>
                <w:rFonts w:ascii="Verdana" w:eastAsia="Times New Roman" w:hAnsi="Verdana" w:cs="Arial"/>
                <w:color w:val="000000" w:themeColor="text1"/>
                <w:sz w:val="16"/>
                <w:szCs w:val="16"/>
                <w:lang w:eastAsia="es-CO"/>
              </w:rPr>
              <w:t xml:space="preserve">-001 </w:t>
            </w:r>
            <w:r w:rsidR="70A77E69" w:rsidRPr="3E48EDB1">
              <w:rPr>
                <w:rFonts w:ascii="Verdana" w:eastAsia="Times New Roman" w:hAnsi="Verdana" w:cs="Arial"/>
                <w:color w:val="000000" w:themeColor="text1"/>
                <w:sz w:val="16"/>
                <w:szCs w:val="16"/>
                <w:lang w:eastAsia="es-CO"/>
              </w:rPr>
              <w:t>Acta</w:t>
            </w:r>
          </w:p>
        </w:tc>
      </w:tr>
      <w:tr w:rsidR="00E304B4" w:rsidRPr="00666AB9" w14:paraId="183D4605" w14:textId="77777777" w:rsidTr="3E48EDB1">
        <w:trPr>
          <w:trHeight w:val="545"/>
        </w:trPr>
        <w:tc>
          <w:tcPr>
            <w:tcW w:w="565" w:type="dxa"/>
            <w:tcBorders>
              <w:bottom w:val="single" w:sz="4" w:space="0" w:color="auto"/>
            </w:tcBorders>
            <w:tcMar>
              <w:top w:w="57" w:type="dxa"/>
              <w:left w:w="113" w:type="dxa"/>
              <w:bottom w:w="57" w:type="dxa"/>
            </w:tcMar>
            <w:vAlign w:val="center"/>
          </w:tcPr>
          <w:p w14:paraId="25B4AC15" w14:textId="5C86AA0A" w:rsidR="00E304B4" w:rsidRPr="00666AB9" w:rsidRDefault="00E304B4" w:rsidP="00E304B4">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20" w:type="dxa"/>
            <w:tcBorders>
              <w:bottom w:val="single" w:sz="4" w:space="0" w:color="auto"/>
            </w:tcBorders>
            <w:tcMar>
              <w:top w:w="57" w:type="dxa"/>
              <w:left w:w="113" w:type="dxa"/>
              <w:bottom w:w="57" w:type="dxa"/>
            </w:tcMar>
            <w:vAlign w:val="center"/>
          </w:tcPr>
          <w:p w14:paraId="1F3A6464" w14:textId="0B0FBDC6" w:rsidR="00E304B4" w:rsidRPr="00E304B4" w:rsidRDefault="1095B371" w:rsidP="06E2C765">
            <w:pPr>
              <w:spacing w:after="0" w:line="240" w:lineRule="auto"/>
              <w:ind w:left="-15"/>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(H) Proyectar Resolución de orden de bajas de Bienes Inmuebles</w:t>
            </w:r>
          </w:p>
        </w:tc>
        <w:tc>
          <w:tcPr>
            <w:tcW w:w="2032" w:type="dxa"/>
            <w:tcBorders>
              <w:bottom w:val="single" w:sz="4" w:space="0" w:color="auto"/>
            </w:tcBorders>
            <w:tcMar>
              <w:top w:w="57" w:type="dxa"/>
              <w:left w:w="113" w:type="dxa"/>
              <w:bottom w:w="57" w:type="dxa"/>
            </w:tcMar>
            <w:vAlign w:val="center"/>
          </w:tcPr>
          <w:p w14:paraId="1E2A241A" w14:textId="6FF73982" w:rsidR="00E304B4" w:rsidRPr="00E304B4" w:rsidRDefault="3967C61B" w:rsidP="00E304B4">
            <w:pPr>
              <w:spacing w:after="0" w:line="240" w:lineRule="auto"/>
              <w:ind w:left="-15"/>
              <w:jc w:val="center"/>
              <w:rPr>
                <w:rFonts w:ascii="Verdana" w:hAnsi="Verdana" w:cs="Arial"/>
                <w:sz w:val="16"/>
                <w:szCs w:val="16"/>
              </w:rPr>
            </w:pPr>
            <w:r w:rsidRPr="06E2C765">
              <w:rPr>
                <w:rFonts w:ascii="Verdana" w:eastAsia="Times New Roman" w:hAnsi="Verdana" w:cs="Arial"/>
                <w:color w:val="000000" w:themeColor="text1"/>
                <w:sz w:val="16"/>
                <w:szCs w:val="16"/>
                <w:lang w:eastAsia="es-CO"/>
              </w:rPr>
              <w:t>Coordinador del Grupo Administrativa</w:t>
            </w:r>
          </w:p>
        </w:tc>
        <w:tc>
          <w:tcPr>
            <w:tcW w:w="4970" w:type="dxa"/>
            <w:tcBorders>
              <w:bottom w:val="single" w:sz="4" w:space="0" w:color="auto"/>
            </w:tcBorders>
            <w:tcMar>
              <w:top w:w="57" w:type="dxa"/>
              <w:left w:w="113" w:type="dxa"/>
              <w:bottom w:w="57" w:type="dxa"/>
            </w:tcMar>
            <w:vAlign w:val="center"/>
          </w:tcPr>
          <w:p w14:paraId="62D42FE7" w14:textId="10B2CFB5" w:rsidR="00E02B76" w:rsidRPr="00E02B76" w:rsidRDefault="3967C61B" w:rsidP="00E304B4">
            <w:pPr>
              <w:spacing w:after="0" w:line="240" w:lineRule="auto"/>
              <w:ind w:left="-15"/>
              <w:jc w:val="both"/>
            </w:pPr>
            <w:r w:rsidRPr="06E2C765">
              <w:rPr>
                <w:rFonts w:ascii="Verdana" w:eastAsia="Times New Roman" w:hAnsi="Verdana" w:cs="Arial"/>
                <w:color w:val="000000" w:themeColor="text1"/>
                <w:sz w:val="16"/>
                <w:szCs w:val="16"/>
                <w:lang w:eastAsia="es-CO"/>
              </w:rPr>
              <w:t>Elaborar proyecto de Resolución de orden de Bajas de bienes Inmuebles y de orden ofrecimiento conforme el mecanismo de destinación o de disposición final de trasferencia a título gratuito o enajenación a título gratuito entre Entidades del Estado, o el mecanismo de destinación final de transferencia a CISA o la entidad que reemplace, o Entidad que disponga la ley. En cuya parte considerativa se ha de detallar el cumplimiento de los requisitos legales de la misma. Además, en la parte resolutiva, se deberá señalar la orden de baja a realizar, el mecanismo de destinación final y la descripción detallada del bien inmueble, identificando su folio de matrícula, áreas, linderos, entre otros, y la entidad pública receptora</w:t>
            </w:r>
            <w:r w:rsidR="76B0617A" w:rsidRPr="06E2C765">
              <w:rPr>
                <w:rFonts w:ascii="Verdana" w:eastAsia="Times New Roman" w:hAnsi="Verdana" w:cs="Arial"/>
                <w:color w:val="000000" w:themeColor="text1"/>
                <w:sz w:val="16"/>
                <w:szCs w:val="16"/>
                <w:lang w:eastAsia="es-CO"/>
              </w:rPr>
              <w:t>.</w:t>
            </w:r>
          </w:p>
          <w:p w14:paraId="6AB4EB6E" w14:textId="767FF09C" w:rsidR="06E2C765" w:rsidRDefault="06E2C765" w:rsidP="06E2C765">
            <w:pPr>
              <w:spacing w:after="0" w:line="240" w:lineRule="auto"/>
              <w:ind w:left="-15"/>
              <w:jc w:val="both"/>
              <w:rPr>
                <w:rFonts w:ascii="Verdana" w:eastAsia="Times New Roman" w:hAnsi="Verdana" w:cs="Arial"/>
                <w:color w:val="000000" w:themeColor="text1"/>
                <w:sz w:val="16"/>
                <w:szCs w:val="16"/>
                <w:lang w:eastAsia="es-CO"/>
              </w:rPr>
            </w:pPr>
          </w:p>
          <w:p w14:paraId="51B7AFC4" w14:textId="0726061E" w:rsidR="00E02B76" w:rsidRPr="00E304B4" w:rsidRDefault="4E360738" w:rsidP="546A49A2">
            <w:pPr>
              <w:spacing w:after="0" w:line="240" w:lineRule="auto"/>
              <w:ind w:left="-15"/>
              <w:jc w:val="both"/>
              <w:rPr>
                <w:rFonts w:ascii="Verdana" w:eastAsia="Times New Roman" w:hAnsi="Verdana" w:cs="Arial"/>
                <w:b/>
                <w:bCs/>
                <w:sz w:val="16"/>
                <w:szCs w:val="16"/>
                <w:lang w:eastAsia="es-CO"/>
              </w:rPr>
            </w:pPr>
            <w:r w:rsidRPr="06E2C765">
              <w:rPr>
                <w:rFonts w:ascii="Verdana" w:eastAsia="Times New Roman" w:hAnsi="Verdana" w:cs="Arial"/>
                <w:b/>
                <w:bCs/>
                <w:sz w:val="16"/>
                <w:szCs w:val="16"/>
                <w:lang w:eastAsia="es-CO"/>
              </w:rPr>
              <w:t xml:space="preserve">Tiempo: </w:t>
            </w:r>
            <w:r w:rsidR="3232D573" w:rsidRPr="06E2C765">
              <w:rPr>
                <w:rFonts w:ascii="Verdana" w:eastAsia="Times New Roman" w:hAnsi="Verdana" w:cs="Arial"/>
                <w:sz w:val="16"/>
                <w:szCs w:val="16"/>
                <w:lang w:eastAsia="es-CO"/>
              </w:rPr>
              <w:t>5</w:t>
            </w:r>
            <w:r w:rsidRPr="06E2C765">
              <w:rPr>
                <w:rFonts w:ascii="Verdana" w:eastAsia="Times New Roman" w:hAnsi="Verdana" w:cs="Arial"/>
                <w:sz w:val="16"/>
                <w:szCs w:val="16"/>
                <w:lang w:eastAsia="es-CO"/>
              </w:rPr>
              <w:t xml:space="preserve"> día</w:t>
            </w:r>
            <w:r w:rsidR="1F3BEDCB" w:rsidRPr="06E2C765">
              <w:rPr>
                <w:rFonts w:ascii="Verdana" w:eastAsia="Times New Roman" w:hAnsi="Verdana" w:cs="Arial"/>
                <w:sz w:val="16"/>
                <w:szCs w:val="16"/>
                <w:lang w:eastAsia="es-CO"/>
              </w:rPr>
              <w:t xml:space="preserve">s </w:t>
            </w:r>
            <w:r w:rsidR="3F69CAEC" w:rsidRPr="06E2C765">
              <w:rPr>
                <w:rFonts w:ascii="Verdana" w:eastAsia="Times New Roman" w:hAnsi="Verdana" w:cs="Arial"/>
                <w:sz w:val="16"/>
                <w:szCs w:val="16"/>
                <w:lang w:eastAsia="es-CO"/>
              </w:rPr>
              <w:t>hábiles</w:t>
            </w:r>
            <w:r w:rsidRPr="06E2C765">
              <w:rPr>
                <w:rFonts w:ascii="Verdana" w:eastAsia="Times New Roman" w:hAnsi="Verdana" w:cs="Arial"/>
                <w:sz w:val="16"/>
                <w:szCs w:val="16"/>
                <w:lang w:eastAsia="es-CO"/>
              </w:rPr>
              <w:t>.</w:t>
            </w:r>
          </w:p>
        </w:tc>
        <w:tc>
          <w:tcPr>
            <w:tcW w:w="1581" w:type="dxa"/>
            <w:tcBorders>
              <w:bottom w:val="single" w:sz="4" w:space="0" w:color="auto"/>
            </w:tcBorders>
            <w:tcMar>
              <w:top w:w="57" w:type="dxa"/>
              <w:left w:w="113" w:type="dxa"/>
              <w:bottom w:w="57" w:type="dxa"/>
            </w:tcMar>
            <w:vAlign w:val="center"/>
          </w:tcPr>
          <w:p w14:paraId="727CE3E5" w14:textId="16C4C3A1" w:rsidR="00E304B4" w:rsidRDefault="6F86C4DA" w:rsidP="00E304B4">
            <w:pPr>
              <w:spacing w:after="0" w:line="240" w:lineRule="auto"/>
              <w:ind w:left="-15"/>
              <w:jc w:val="center"/>
              <w:rPr>
                <w:rFonts w:ascii="Verdana" w:eastAsia="Times New Roman" w:hAnsi="Verdana" w:cs="Arial"/>
                <w:color w:val="000000"/>
                <w:sz w:val="16"/>
                <w:szCs w:val="16"/>
                <w:lang w:eastAsia="es-CO"/>
              </w:rPr>
            </w:pPr>
            <w:r w:rsidRPr="546A49A2">
              <w:rPr>
                <w:rFonts w:ascii="Verdana" w:eastAsia="Times New Roman" w:hAnsi="Verdana" w:cs="Arial"/>
                <w:color w:val="000000" w:themeColor="text1"/>
                <w:sz w:val="16"/>
                <w:szCs w:val="16"/>
                <w:lang w:eastAsia="es-CO"/>
              </w:rPr>
              <w:t>Proyecto de Resolución</w:t>
            </w:r>
          </w:p>
          <w:p w14:paraId="0EDEE67F" w14:textId="28A52DC4" w:rsidR="005028E6" w:rsidRPr="00E304B4" w:rsidRDefault="005028E6" w:rsidP="00E304B4">
            <w:pPr>
              <w:spacing w:after="0" w:line="240" w:lineRule="auto"/>
              <w:ind w:left="-15"/>
              <w:jc w:val="center"/>
              <w:rPr>
                <w:rFonts w:ascii="Verdana" w:hAnsi="Verdana" w:cs="Arial"/>
                <w:sz w:val="16"/>
                <w:szCs w:val="16"/>
              </w:rPr>
            </w:pPr>
          </w:p>
        </w:tc>
      </w:tr>
      <w:tr w:rsidR="00E304B4" w:rsidRPr="00666AB9" w14:paraId="7D698597" w14:textId="77777777" w:rsidTr="3E48EDB1">
        <w:trPr>
          <w:trHeight w:val="545"/>
        </w:trPr>
        <w:tc>
          <w:tcPr>
            <w:tcW w:w="565" w:type="dxa"/>
            <w:tcBorders>
              <w:bottom w:val="single" w:sz="4" w:space="0" w:color="auto"/>
            </w:tcBorders>
            <w:tcMar>
              <w:top w:w="57" w:type="dxa"/>
              <w:left w:w="113" w:type="dxa"/>
              <w:bottom w:w="57" w:type="dxa"/>
            </w:tcMar>
            <w:vAlign w:val="center"/>
          </w:tcPr>
          <w:p w14:paraId="62EEEF51" w14:textId="3536255D" w:rsidR="00E304B4" w:rsidRPr="00666AB9" w:rsidRDefault="00E304B4" w:rsidP="00E304B4">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20" w:type="dxa"/>
            <w:tcBorders>
              <w:bottom w:val="single" w:sz="4" w:space="0" w:color="auto"/>
            </w:tcBorders>
            <w:tcMar>
              <w:top w:w="57" w:type="dxa"/>
              <w:left w:w="113" w:type="dxa"/>
              <w:bottom w:w="57" w:type="dxa"/>
            </w:tcMar>
            <w:vAlign w:val="center"/>
          </w:tcPr>
          <w:p w14:paraId="0287E0BF" w14:textId="6A4BE8F7" w:rsidR="00E304B4" w:rsidRPr="00E304B4" w:rsidRDefault="6FCADE06" w:rsidP="06E2C765">
            <w:pPr>
              <w:spacing w:after="0" w:line="240" w:lineRule="auto"/>
              <w:ind w:left="-15"/>
              <w:rPr>
                <w:rFonts w:ascii="Verdana" w:hAnsi="Verdana" w:cs="Arial"/>
                <w:sz w:val="16"/>
                <w:szCs w:val="16"/>
              </w:rPr>
            </w:pPr>
            <w:r w:rsidRPr="06E2C765">
              <w:rPr>
                <w:rFonts w:ascii="Verdana" w:eastAsia="Times New Roman" w:hAnsi="Verdana" w:cs="Arial"/>
                <w:color w:val="000000" w:themeColor="text1"/>
                <w:sz w:val="16"/>
                <w:szCs w:val="16"/>
                <w:lang w:eastAsia="es-CO"/>
              </w:rPr>
              <w:t>(H) Enviar Resolución</w:t>
            </w:r>
          </w:p>
          <w:p w14:paraId="035FD1C4" w14:textId="06C255EC" w:rsidR="00E304B4" w:rsidRPr="00E304B4" w:rsidRDefault="00E304B4" w:rsidP="06E2C765">
            <w:pPr>
              <w:spacing w:after="0" w:line="240" w:lineRule="auto"/>
              <w:ind w:left="-15"/>
              <w:rPr>
                <w:rFonts w:ascii="Verdana" w:eastAsia="Times New Roman" w:hAnsi="Verdana" w:cs="Arial"/>
                <w:color w:val="000000" w:themeColor="text1"/>
                <w:sz w:val="16"/>
                <w:szCs w:val="16"/>
                <w:lang w:eastAsia="es-CO"/>
              </w:rPr>
            </w:pPr>
          </w:p>
        </w:tc>
        <w:tc>
          <w:tcPr>
            <w:tcW w:w="2032" w:type="dxa"/>
            <w:tcBorders>
              <w:bottom w:val="single" w:sz="4" w:space="0" w:color="auto"/>
            </w:tcBorders>
            <w:tcMar>
              <w:top w:w="57" w:type="dxa"/>
              <w:left w:w="113" w:type="dxa"/>
              <w:bottom w:w="57" w:type="dxa"/>
            </w:tcMar>
            <w:vAlign w:val="center"/>
          </w:tcPr>
          <w:p w14:paraId="0DFF0FCB" w14:textId="2E872B0F" w:rsidR="00E304B4" w:rsidRPr="00E304B4" w:rsidRDefault="6FCADE06" w:rsidP="00E304B4">
            <w:pPr>
              <w:spacing w:after="0" w:line="240" w:lineRule="auto"/>
              <w:ind w:left="-15"/>
              <w:jc w:val="center"/>
              <w:rPr>
                <w:rFonts w:ascii="Verdana" w:hAnsi="Verdana" w:cs="Arial"/>
                <w:sz w:val="16"/>
                <w:szCs w:val="16"/>
              </w:rPr>
            </w:pPr>
            <w:r w:rsidRPr="06E2C765">
              <w:rPr>
                <w:rFonts w:ascii="Verdana" w:eastAsia="Times New Roman" w:hAnsi="Verdana" w:cs="Arial"/>
                <w:color w:val="000000" w:themeColor="text1"/>
                <w:sz w:val="16"/>
                <w:szCs w:val="16"/>
                <w:lang w:eastAsia="es-CO"/>
              </w:rPr>
              <w:t>Coordinador del Grupo Administrativa</w:t>
            </w:r>
          </w:p>
        </w:tc>
        <w:tc>
          <w:tcPr>
            <w:tcW w:w="4970" w:type="dxa"/>
            <w:tcBorders>
              <w:bottom w:val="single" w:sz="4" w:space="0" w:color="auto"/>
            </w:tcBorders>
            <w:tcMar>
              <w:top w:w="57" w:type="dxa"/>
              <w:left w:w="113" w:type="dxa"/>
              <w:bottom w:w="57" w:type="dxa"/>
            </w:tcMar>
            <w:vAlign w:val="center"/>
          </w:tcPr>
          <w:p w14:paraId="45DB6884" w14:textId="3E41A810" w:rsidR="6FCADE06" w:rsidRDefault="6FCADE06" w:rsidP="06E2C765">
            <w:pPr>
              <w:spacing w:after="0" w:line="240" w:lineRule="auto"/>
              <w:ind w:left="-15"/>
              <w:jc w:val="both"/>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Enviar el proyecto de Resolución de orden de Bajas de bienes Inmuebles y de orden ofrecimiento y manifestación respecto del mecanismo de destinación o de disposición final de trasferencia a título gratuito o enajenación a título gratuito entre Entidades del Estado, o el mecanismo de destinación final de transferencia a CISA o la entidad que reemplace, o Entidad que disponga la ley, a la Oficina</w:t>
            </w:r>
            <w:r>
              <w:br/>
            </w:r>
            <w:r w:rsidRPr="06E2C765">
              <w:rPr>
                <w:rFonts w:ascii="Verdana" w:eastAsia="Times New Roman" w:hAnsi="Verdana" w:cs="Arial"/>
                <w:color w:val="000000" w:themeColor="text1"/>
                <w:sz w:val="16"/>
                <w:szCs w:val="16"/>
                <w:lang w:eastAsia="es-CO"/>
              </w:rPr>
              <w:t>Asesora Jurídica para su estudio, revisión y aprobación.</w:t>
            </w:r>
          </w:p>
          <w:p w14:paraId="0D0D8C15" w14:textId="429F4A57" w:rsidR="00E304B4" w:rsidRPr="00E304B4" w:rsidRDefault="00E304B4" w:rsidP="546A49A2">
            <w:pPr>
              <w:spacing w:after="0" w:line="240" w:lineRule="auto"/>
              <w:ind w:left="-15"/>
              <w:jc w:val="both"/>
              <w:rPr>
                <w:rFonts w:ascii="Verdana" w:eastAsia="Times New Roman" w:hAnsi="Verdana" w:cs="Arial"/>
                <w:color w:val="000000" w:themeColor="text1"/>
                <w:sz w:val="16"/>
                <w:szCs w:val="16"/>
                <w:lang w:eastAsia="es-CO"/>
              </w:rPr>
            </w:pPr>
            <w:r>
              <w:br/>
            </w:r>
            <w:r w:rsidR="76B0617A" w:rsidRPr="06E2C765">
              <w:rPr>
                <w:rFonts w:ascii="Verdana" w:eastAsia="Times New Roman" w:hAnsi="Verdana" w:cs="Arial"/>
                <w:b/>
                <w:bCs/>
                <w:color w:val="000000" w:themeColor="text1"/>
                <w:sz w:val="16"/>
                <w:szCs w:val="16"/>
                <w:lang w:eastAsia="es-CO"/>
              </w:rPr>
              <w:t>Tiempo:</w:t>
            </w:r>
            <w:r w:rsidR="76B0617A" w:rsidRPr="06E2C765">
              <w:rPr>
                <w:rFonts w:ascii="Verdana" w:eastAsia="Times New Roman" w:hAnsi="Verdana" w:cs="Arial"/>
                <w:color w:val="000000" w:themeColor="text1"/>
                <w:sz w:val="16"/>
                <w:szCs w:val="16"/>
                <w:lang w:eastAsia="es-CO"/>
              </w:rPr>
              <w:t xml:space="preserve"> </w:t>
            </w:r>
            <w:r w:rsidR="1D178117" w:rsidRPr="06E2C765">
              <w:rPr>
                <w:rFonts w:ascii="Verdana" w:eastAsia="Times New Roman" w:hAnsi="Verdana" w:cs="Arial"/>
                <w:color w:val="000000" w:themeColor="text1"/>
                <w:sz w:val="16"/>
                <w:szCs w:val="16"/>
                <w:lang w:eastAsia="es-CO"/>
              </w:rPr>
              <w:t xml:space="preserve">2 días </w:t>
            </w:r>
            <w:r w:rsidR="6B55839C" w:rsidRPr="06E2C765">
              <w:rPr>
                <w:rFonts w:ascii="Verdana" w:eastAsia="Times New Roman" w:hAnsi="Verdana" w:cs="Arial"/>
                <w:color w:val="000000" w:themeColor="text1"/>
                <w:sz w:val="16"/>
                <w:szCs w:val="16"/>
                <w:lang w:eastAsia="es-CO"/>
              </w:rPr>
              <w:t>hábiles</w:t>
            </w:r>
            <w:r w:rsidR="1D178117" w:rsidRPr="06E2C765">
              <w:rPr>
                <w:rFonts w:ascii="Verdana" w:eastAsia="Times New Roman" w:hAnsi="Verdana" w:cs="Arial"/>
                <w:color w:val="000000" w:themeColor="text1"/>
                <w:sz w:val="16"/>
                <w:szCs w:val="16"/>
                <w:lang w:eastAsia="es-CO"/>
              </w:rPr>
              <w:t>.</w:t>
            </w:r>
          </w:p>
        </w:tc>
        <w:tc>
          <w:tcPr>
            <w:tcW w:w="1581" w:type="dxa"/>
            <w:tcBorders>
              <w:bottom w:val="single" w:sz="4" w:space="0" w:color="auto"/>
            </w:tcBorders>
            <w:tcMar>
              <w:top w:w="57" w:type="dxa"/>
              <w:left w:w="113" w:type="dxa"/>
              <w:bottom w:w="57" w:type="dxa"/>
            </w:tcMar>
            <w:vAlign w:val="center"/>
          </w:tcPr>
          <w:p w14:paraId="5BC3B0FB" w14:textId="42AF4C60" w:rsidR="00143548" w:rsidRPr="00E304B4" w:rsidRDefault="76F96EB4" w:rsidP="00E304B4">
            <w:pPr>
              <w:spacing w:after="0" w:line="240" w:lineRule="auto"/>
              <w:ind w:left="-15"/>
              <w:jc w:val="center"/>
              <w:rPr>
                <w:rFonts w:ascii="Verdana" w:hAnsi="Verdana" w:cs="Arial"/>
                <w:sz w:val="16"/>
                <w:szCs w:val="16"/>
              </w:rPr>
            </w:pPr>
            <w:r w:rsidRPr="06E2C765">
              <w:rPr>
                <w:rFonts w:ascii="Verdana" w:hAnsi="Verdana" w:cs="Arial"/>
                <w:sz w:val="16"/>
                <w:szCs w:val="16"/>
              </w:rPr>
              <w:t>Proyecto de Resolución y memorando o correo electrónico de remisión</w:t>
            </w:r>
          </w:p>
        </w:tc>
      </w:tr>
      <w:tr w:rsidR="00F25DB1" w:rsidRPr="00666AB9" w14:paraId="1344E597" w14:textId="77777777" w:rsidTr="3E48EDB1">
        <w:trPr>
          <w:trHeight w:val="545"/>
        </w:trPr>
        <w:tc>
          <w:tcPr>
            <w:tcW w:w="565" w:type="dxa"/>
            <w:tcBorders>
              <w:bottom w:val="single" w:sz="4" w:space="0" w:color="auto"/>
            </w:tcBorders>
            <w:tcMar>
              <w:top w:w="57" w:type="dxa"/>
              <w:left w:w="113" w:type="dxa"/>
              <w:bottom w:w="57" w:type="dxa"/>
            </w:tcMar>
            <w:vAlign w:val="center"/>
          </w:tcPr>
          <w:p w14:paraId="5436EE16" w14:textId="7944318E" w:rsidR="00F25DB1" w:rsidRPr="00666AB9" w:rsidRDefault="00F25DB1" w:rsidP="00F25DB1">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20" w:type="dxa"/>
            <w:tcBorders>
              <w:bottom w:val="single" w:sz="4" w:space="0" w:color="auto"/>
            </w:tcBorders>
            <w:tcMar>
              <w:top w:w="57" w:type="dxa"/>
              <w:left w:w="113" w:type="dxa"/>
              <w:bottom w:w="57" w:type="dxa"/>
            </w:tcMar>
            <w:vAlign w:val="center"/>
          </w:tcPr>
          <w:p w14:paraId="5A58A220" w14:textId="11214A3F" w:rsidR="00F25DB1" w:rsidRPr="00F25DB1" w:rsidRDefault="215F30F1" w:rsidP="06E2C765">
            <w:pPr>
              <w:spacing w:after="0" w:line="240" w:lineRule="auto"/>
              <w:ind w:left="-15"/>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 xml:space="preserve">(V) </w:t>
            </w:r>
            <w:r w:rsidR="06D6BC84" w:rsidRPr="06E2C765">
              <w:rPr>
                <w:rFonts w:ascii="Verdana" w:eastAsia="Times New Roman" w:hAnsi="Verdana" w:cs="Arial"/>
                <w:color w:val="000000" w:themeColor="text1"/>
                <w:sz w:val="16"/>
                <w:szCs w:val="16"/>
                <w:lang w:eastAsia="es-CO"/>
              </w:rPr>
              <w:t>Revisar</w:t>
            </w:r>
            <w:r w:rsidR="494A20C0" w:rsidRPr="06E2C765">
              <w:rPr>
                <w:rFonts w:ascii="Verdana" w:eastAsia="Times New Roman" w:hAnsi="Verdana" w:cs="Arial"/>
                <w:color w:val="000000" w:themeColor="text1"/>
                <w:sz w:val="16"/>
                <w:szCs w:val="16"/>
                <w:lang w:eastAsia="es-CO"/>
              </w:rPr>
              <w:t xml:space="preserve"> Resolución</w:t>
            </w:r>
          </w:p>
        </w:tc>
        <w:tc>
          <w:tcPr>
            <w:tcW w:w="2032" w:type="dxa"/>
            <w:tcBorders>
              <w:bottom w:val="single" w:sz="4" w:space="0" w:color="auto"/>
            </w:tcBorders>
            <w:tcMar>
              <w:top w:w="57" w:type="dxa"/>
              <w:left w:w="113" w:type="dxa"/>
              <w:bottom w:w="57" w:type="dxa"/>
            </w:tcMar>
            <w:vAlign w:val="center"/>
          </w:tcPr>
          <w:p w14:paraId="15508131" w14:textId="1CDF10FF" w:rsidR="00F25DB1" w:rsidRPr="00F25DB1" w:rsidRDefault="00F25DB1" w:rsidP="00F25DB1">
            <w:pPr>
              <w:spacing w:after="0" w:line="240" w:lineRule="auto"/>
              <w:ind w:left="-15"/>
              <w:jc w:val="center"/>
              <w:rPr>
                <w:rFonts w:ascii="Verdana" w:hAnsi="Verdana" w:cs="Arial"/>
                <w:sz w:val="16"/>
                <w:szCs w:val="16"/>
              </w:rPr>
            </w:pPr>
            <w:r w:rsidRPr="00F25DB1">
              <w:rPr>
                <w:rFonts w:ascii="Verdana" w:eastAsia="Times New Roman" w:hAnsi="Verdana" w:cs="Arial"/>
                <w:color w:val="000000"/>
                <w:sz w:val="16"/>
                <w:szCs w:val="16"/>
                <w:lang w:eastAsia="es-CO"/>
              </w:rPr>
              <w:t>Jefe Oficina Asesora Jurídica</w:t>
            </w:r>
          </w:p>
        </w:tc>
        <w:tc>
          <w:tcPr>
            <w:tcW w:w="4970" w:type="dxa"/>
            <w:tcBorders>
              <w:bottom w:val="single" w:sz="4" w:space="0" w:color="auto"/>
            </w:tcBorders>
            <w:tcMar>
              <w:top w:w="57" w:type="dxa"/>
              <w:left w:w="113" w:type="dxa"/>
              <w:bottom w:w="57" w:type="dxa"/>
            </w:tcMar>
            <w:vAlign w:val="center"/>
          </w:tcPr>
          <w:p w14:paraId="4696B768" w14:textId="569F8C05" w:rsidR="00AF45F9" w:rsidRDefault="254F79B7" w:rsidP="00F25DB1">
            <w:pPr>
              <w:spacing w:after="0" w:line="240" w:lineRule="auto"/>
              <w:ind w:left="-15"/>
              <w:jc w:val="both"/>
              <w:rPr>
                <w:rFonts w:ascii="Verdana" w:eastAsia="Times New Roman" w:hAnsi="Verdana" w:cs="Arial"/>
                <w:color w:val="000000"/>
                <w:sz w:val="16"/>
                <w:szCs w:val="16"/>
                <w:lang w:eastAsia="es-CO"/>
              </w:rPr>
            </w:pPr>
            <w:r w:rsidRPr="06E2C765">
              <w:rPr>
                <w:rFonts w:ascii="Verdana" w:eastAsia="Times New Roman" w:hAnsi="Verdana" w:cs="Arial"/>
                <w:color w:val="000000" w:themeColor="text1"/>
                <w:sz w:val="16"/>
                <w:szCs w:val="16"/>
                <w:lang w:eastAsia="es-CO"/>
              </w:rPr>
              <w:t>Efectuar revisión del proyecto de Resolución con el fin de determinar si este se encuentra ajustado a derecho, y si es procedente el acto jurídico a plasmar en el mismo.</w:t>
            </w:r>
            <w:r w:rsidR="00F25DB1">
              <w:br/>
            </w:r>
            <w:r w:rsidR="00F25DB1">
              <w:lastRenderedPageBreak/>
              <w:br/>
            </w:r>
            <w:r w:rsidRPr="06E2C765">
              <w:rPr>
                <w:rFonts w:ascii="Verdana" w:eastAsia="Times New Roman" w:hAnsi="Verdana" w:cs="Arial"/>
                <w:color w:val="000000" w:themeColor="text1"/>
                <w:sz w:val="16"/>
                <w:szCs w:val="16"/>
                <w:lang w:eastAsia="es-CO"/>
              </w:rPr>
              <w:t>En caso de requerir ajuste el proyecto de resolución se notifica al Grupo Administrativa para su ajuste correspondiente.</w:t>
            </w:r>
          </w:p>
          <w:p w14:paraId="4C78E6ED" w14:textId="1EE27D5C" w:rsidR="00F25DB1" w:rsidRPr="00F25DB1" w:rsidRDefault="00F25DB1" w:rsidP="546A49A2">
            <w:pPr>
              <w:spacing w:after="0" w:line="240" w:lineRule="auto"/>
              <w:ind w:left="-15"/>
              <w:jc w:val="both"/>
              <w:rPr>
                <w:rFonts w:ascii="Verdana" w:eastAsia="Verdana" w:hAnsi="Verdana" w:cs="Verdana"/>
                <w:sz w:val="16"/>
                <w:szCs w:val="16"/>
              </w:rPr>
            </w:pPr>
            <w:r>
              <w:br/>
            </w:r>
            <w:r w:rsidRPr="546A49A2">
              <w:rPr>
                <w:rFonts w:ascii="Verdana" w:eastAsia="Times New Roman" w:hAnsi="Verdana" w:cs="Arial"/>
                <w:b/>
                <w:bCs/>
                <w:color w:val="000000" w:themeColor="text1"/>
                <w:sz w:val="16"/>
                <w:szCs w:val="16"/>
                <w:lang w:eastAsia="es-CO"/>
              </w:rPr>
              <w:t>Tiempo:</w:t>
            </w:r>
            <w:r w:rsidRPr="546A49A2">
              <w:rPr>
                <w:rFonts w:ascii="Verdana" w:eastAsia="Times New Roman" w:hAnsi="Verdana" w:cs="Arial"/>
                <w:color w:val="000000" w:themeColor="text1"/>
                <w:sz w:val="16"/>
                <w:szCs w:val="16"/>
                <w:lang w:eastAsia="es-CO"/>
              </w:rPr>
              <w:t xml:space="preserve"> </w:t>
            </w:r>
            <w:r w:rsidR="271A4F5F" w:rsidRPr="546A49A2">
              <w:rPr>
                <w:rFonts w:ascii="Arial" w:eastAsia="Arial" w:hAnsi="Arial" w:cs="Arial"/>
                <w:color w:val="000000" w:themeColor="text1"/>
                <w:sz w:val="18"/>
                <w:szCs w:val="18"/>
              </w:rPr>
              <w:t>5 días hábiles.</w:t>
            </w:r>
          </w:p>
        </w:tc>
        <w:tc>
          <w:tcPr>
            <w:tcW w:w="1581" w:type="dxa"/>
            <w:tcBorders>
              <w:bottom w:val="single" w:sz="4" w:space="0" w:color="auto"/>
            </w:tcBorders>
            <w:tcMar>
              <w:top w:w="57" w:type="dxa"/>
              <w:left w:w="113" w:type="dxa"/>
              <w:bottom w:w="57" w:type="dxa"/>
            </w:tcMar>
            <w:vAlign w:val="center"/>
          </w:tcPr>
          <w:p w14:paraId="553FFFCB" w14:textId="5F0D4485" w:rsidR="00F25DB1" w:rsidRPr="00F25DB1" w:rsidRDefault="08A8DBC9" w:rsidP="00F25DB1">
            <w:pPr>
              <w:spacing w:after="0" w:line="240" w:lineRule="auto"/>
              <w:ind w:left="-15"/>
              <w:jc w:val="center"/>
              <w:rPr>
                <w:rFonts w:ascii="Verdana" w:hAnsi="Verdana" w:cs="Arial"/>
                <w:sz w:val="16"/>
                <w:szCs w:val="16"/>
              </w:rPr>
            </w:pPr>
            <w:r w:rsidRPr="06E2C765">
              <w:rPr>
                <w:rFonts w:ascii="Verdana" w:eastAsia="Times New Roman" w:hAnsi="Verdana" w:cs="Arial"/>
                <w:color w:val="000000" w:themeColor="text1"/>
                <w:sz w:val="16"/>
                <w:szCs w:val="16"/>
                <w:lang w:eastAsia="es-CO"/>
              </w:rPr>
              <w:lastRenderedPageBreak/>
              <w:t xml:space="preserve">Memorando o correo electrónico de </w:t>
            </w:r>
            <w:r w:rsidRPr="06E2C765">
              <w:rPr>
                <w:rFonts w:ascii="Verdana" w:eastAsia="Times New Roman" w:hAnsi="Verdana" w:cs="Arial"/>
                <w:color w:val="000000" w:themeColor="text1"/>
                <w:sz w:val="16"/>
                <w:szCs w:val="16"/>
                <w:lang w:eastAsia="es-CO"/>
              </w:rPr>
              <w:lastRenderedPageBreak/>
              <w:t>respuesta sobre la revisión con destino al Grupo Administrativa</w:t>
            </w:r>
          </w:p>
        </w:tc>
      </w:tr>
      <w:tr w:rsidR="00F25DB1" w:rsidRPr="00666AB9" w14:paraId="21A40428" w14:textId="77777777" w:rsidTr="3E48EDB1">
        <w:trPr>
          <w:trHeight w:val="545"/>
        </w:trPr>
        <w:tc>
          <w:tcPr>
            <w:tcW w:w="565" w:type="dxa"/>
            <w:tcBorders>
              <w:bottom w:val="single" w:sz="4" w:space="0" w:color="auto"/>
            </w:tcBorders>
            <w:tcMar>
              <w:top w:w="57" w:type="dxa"/>
              <w:left w:w="113" w:type="dxa"/>
              <w:bottom w:w="57" w:type="dxa"/>
            </w:tcMar>
            <w:vAlign w:val="center"/>
          </w:tcPr>
          <w:p w14:paraId="2D3798DE" w14:textId="482E0D72" w:rsidR="00F25DB1" w:rsidRPr="00666AB9" w:rsidRDefault="00F25DB1" w:rsidP="00F25DB1">
            <w:pPr>
              <w:spacing w:after="0" w:line="240" w:lineRule="auto"/>
              <w:ind w:left="-15"/>
              <w:jc w:val="center"/>
              <w:rPr>
                <w:rFonts w:ascii="Verdana" w:hAnsi="Verdana" w:cs="Arial"/>
                <w:b/>
                <w:sz w:val="16"/>
                <w:szCs w:val="16"/>
              </w:rPr>
            </w:pPr>
            <w:r>
              <w:rPr>
                <w:rFonts w:ascii="Verdana" w:hAnsi="Verdana" w:cs="Arial"/>
                <w:b/>
                <w:sz w:val="16"/>
                <w:szCs w:val="16"/>
              </w:rPr>
              <w:lastRenderedPageBreak/>
              <w:t>6</w:t>
            </w:r>
          </w:p>
        </w:tc>
        <w:tc>
          <w:tcPr>
            <w:tcW w:w="1620" w:type="dxa"/>
            <w:tcBorders>
              <w:bottom w:val="single" w:sz="4" w:space="0" w:color="auto"/>
            </w:tcBorders>
            <w:tcMar>
              <w:top w:w="57" w:type="dxa"/>
              <w:left w:w="113" w:type="dxa"/>
              <w:bottom w:w="57" w:type="dxa"/>
            </w:tcMar>
            <w:vAlign w:val="center"/>
          </w:tcPr>
          <w:p w14:paraId="48F04687" w14:textId="65E4DA54" w:rsidR="00F25DB1" w:rsidRPr="00F25DB1" w:rsidRDefault="414D2693" w:rsidP="06E2C765">
            <w:pPr>
              <w:spacing w:after="0" w:line="240" w:lineRule="auto"/>
              <w:ind w:left="-15"/>
              <w:rPr>
                <w:rFonts w:ascii="Verdana" w:hAnsi="Verdana" w:cs="Arial"/>
                <w:sz w:val="16"/>
                <w:szCs w:val="16"/>
              </w:rPr>
            </w:pPr>
            <w:r w:rsidRPr="4563F471">
              <w:rPr>
                <w:rFonts w:ascii="Verdana" w:eastAsia="Times New Roman" w:hAnsi="Verdana" w:cs="Arial"/>
                <w:color w:val="000000" w:themeColor="text1"/>
                <w:sz w:val="16"/>
                <w:szCs w:val="16"/>
                <w:lang w:eastAsia="es-CO"/>
              </w:rPr>
              <w:t>(V) Aprobar Resolución</w:t>
            </w:r>
          </w:p>
        </w:tc>
        <w:tc>
          <w:tcPr>
            <w:tcW w:w="2032" w:type="dxa"/>
            <w:tcBorders>
              <w:bottom w:val="single" w:sz="4" w:space="0" w:color="auto"/>
            </w:tcBorders>
            <w:tcMar>
              <w:top w:w="57" w:type="dxa"/>
              <w:left w:w="113" w:type="dxa"/>
              <w:bottom w:w="57" w:type="dxa"/>
            </w:tcMar>
            <w:vAlign w:val="center"/>
          </w:tcPr>
          <w:p w14:paraId="44CE86A1" w14:textId="05203A17" w:rsidR="00F25DB1" w:rsidRPr="00F25DB1" w:rsidRDefault="6B554F67" w:rsidP="00F25DB1">
            <w:pPr>
              <w:jc w:val="center"/>
              <w:rPr>
                <w:rFonts w:ascii="Verdana" w:hAnsi="Verdana" w:cs="Arial"/>
                <w:color w:val="000000"/>
                <w:sz w:val="16"/>
                <w:szCs w:val="16"/>
              </w:rPr>
            </w:pPr>
            <w:r w:rsidRPr="06E2C765">
              <w:rPr>
                <w:rFonts w:ascii="Verdana" w:eastAsia="Times New Roman" w:hAnsi="Verdana" w:cs="Arial"/>
                <w:color w:val="000000" w:themeColor="text1"/>
                <w:sz w:val="16"/>
                <w:szCs w:val="16"/>
                <w:lang w:eastAsia="es-CO"/>
              </w:rPr>
              <w:t xml:space="preserve">Jefe Oficina Asesora Jurídica  </w:t>
            </w:r>
          </w:p>
        </w:tc>
        <w:tc>
          <w:tcPr>
            <w:tcW w:w="4970" w:type="dxa"/>
            <w:tcBorders>
              <w:bottom w:val="single" w:sz="4" w:space="0" w:color="auto"/>
            </w:tcBorders>
            <w:tcMar>
              <w:top w:w="57" w:type="dxa"/>
              <w:left w:w="113" w:type="dxa"/>
              <w:bottom w:w="57" w:type="dxa"/>
            </w:tcMar>
            <w:vAlign w:val="center"/>
          </w:tcPr>
          <w:p w14:paraId="420FA34F" w14:textId="0DE37D58" w:rsidR="00F25DB1" w:rsidRPr="00F25DB1" w:rsidRDefault="6F208DF3" w:rsidP="00F25DB1">
            <w:pPr>
              <w:spacing w:after="0" w:line="240" w:lineRule="auto"/>
              <w:ind w:left="-15"/>
              <w:jc w:val="both"/>
              <w:rPr>
                <w:rFonts w:ascii="Verdana" w:hAnsi="Verdana" w:cs="Arial"/>
                <w:b/>
                <w:bCs/>
                <w:sz w:val="16"/>
                <w:szCs w:val="16"/>
              </w:rPr>
            </w:pPr>
            <w:r w:rsidRPr="06E2C765">
              <w:rPr>
                <w:rFonts w:ascii="Verdana" w:eastAsia="Verdana" w:hAnsi="Verdana" w:cs="Verdana"/>
                <w:sz w:val="16"/>
                <w:szCs w:val="16"/>
              </w:rPr>
              <w:t>Efectuar la aprobación y visto bueno del proyecto de Resolución</w:t>
            </w:r>
            <w:r w:rsidR="00E968AB">
              <w:br/>
            </w:r>
            <w:r w:rsidR="00E968AB">
              <w:br/>
            </w:r>
            <w:r w:rsidR="06D6BC84" w:rsidRPr="06E2C765">
              <w:rPr>
                <w:rFonts w:ascii="Verdana" w:eastAsia="Times New Roman" w:hAnsi="Verdana" w:cs="Arial"/>
                <w:b/>
                <w:bCs/>
                <w:color w:val="000000" w:themeColor="text1"/>
                <w:sz w:val="16"/>
                <w:szCs w:val="16"/>
                <w:lang w:eastAsia="es-CO"/>
              </w:rPr>
              <w:t>Tiempo:</w:t>
            </w:r>
            <w:r w:rsidR="06D6BC84" w:rsidRPr="06E2C765">
              <w:rPr>
                <w:rFonts w:ascii="Verdana" w:eastAsia="Times New Roman" w:hAnsi="Verdana" w:cs="Arial"/>
                <w:color w:val="000000" w:themeColor="text1"/>
                <w:sz w:val="16"/>
                <w:szCs w:val="16"/>
                <w:lang w:eastAsia="es-CO"/>
              </w:rPr>
              <w:t xml:space="preserve"> </w:t>
            </w:r>
            <w:r w:rsidR="2333E2F8" w:rsidRPr="06E2C765">
              <w:rPr>
                <w:rFonts w:ascii="Verdana" w:eastAsia="Times New Roman" w:hAnsi="Verdana" w:cs="Arial"/>
                <w:color w:val="000000" w:themeColor="text1"/>
                <w:sz w:val="16"/>
                <w:szCs w:val="16"/>
                <w:lang w:eastAsia="es-CO"/>
              </w:rPr>
              <w:t>1 día</w:t>
            </w:r>
          </w:p>
        </w:tc>
        <w:tc>
          <w:tcPr>
            <w:tcW w:w="1581" w:type="dxa"/>
            <w:tcBorders>
              <w:bottom w:val="single" w:sz="4" w:space="0" w:color="auto"/>
            </w:tcBorders>
            <w:tcMar>
              <w:top w:w="57" w:type="dxa"/>
              <w:left w:w="113" w:type="dxa"/>
              <w:bottom w:w="57" w:type="dxa"/>
            </w:tcMar>
            <w:vAlign w:val="center"/>
          </w:tcPr>
          <w:p w14:paraId="6CF8D8DA" w14:textId="7E359CEB" w:rsidR="00F25DB1" w:rsidRPr="00F25DB1" w:rsidRDefault="7ED22231" w:rsidP="00F25DB1">
            <w:pPr>
              <w:spacing w:after="0" w:line="240" w:lineRule="auto"/>
              <w:ind w:left="-15"/>
              <w:jc w:val="center"/>
              <w:rPr>
                <w:rFonts w:ascii="Verdana" w:hAnsi="Verdana" w:cs="Arial"/>
                <w:sz w:val="16"/>
                <w:szCs w:val="16"/>
              </w:rPr>
            </w:pPr>
            <w:r w:rsidRPr="5593BE21">
              <w:rPr>
                <w:rFonts w:ascii="Verdana" w:eastAsia="Times New Roman" w:hAnsi="Verdana" w:cs="Arial"/>
                <w:color w:val="000000" w:themeColor="text1"/>
                <w:sz w:val="16"/>
                <w:szCs w:val="16"/>
                <w:lang w:eastAsia="es-CO"/>
              </w:rPr>
              <w:t>Memorando de respuesta sobre la aprobación con destino al Grupo Administrativa</w:t>
            </w:r>
          </w:p>
        </w:tc>
      </w:tr>
      <w:tr w:rsidR="00F25DB1" w:rsidRPr="00666AB9" w14:paraId="119AE29D" w14:textId="77777777" w:rsidTr="3E48EDB1">
        <w:trPr>
          <w:trHeight w:val="545"/>
        </w:trPr>
        <w:tc>
          <w:tcPr>
            <w:tcW w:w="565" w:type="dxa"/>
            <w:tcBorders>
              <w:bottom w:val="single" w:sz="4" w:space="0" w:color="auto"/>
            </w:tcBorders>
            <w:tcMar>
              <w:top w:w="57" w:type="dxa"/>
              <w:left w:w="113" w:type="dxa"/>
              <w:bottom w:w="57" w:type="dxa"/>
            </w:tcMar>
            <w:vAlign w:val="center"/>
          </w:tcPr>
          <w:p w14:paraId="2C4027CF" w14:textId="29C6A7CE" w:rsidR="00F25DB1" w:rsidRPr="00666AB9" w:rsidRDefault="00F25DB1" w:rsidP="00F25DB1">
            <w:pPr>
              <w:spacing w:after="0" w:line="240" w:lineRule="auto"/>
              <w:ind w:left="-15"/>
              <w:jc w:val="center"/>
              <w:rPr>
                <w:rFonts w:ascii="Verdana" w:hAnsi="Verdana" w:cs="Arial"/>
                <w:b/>
                <w:sz w:val="16"/>
                <w:szCs w:val="16"/>
              </w:rPr>
            </w:pPr>
            <w:r>
              <w:rPr>
                <w:rFonts w:ascii="Verdana" w:hAnsi="Verdana" w:cs="Arial"/>
                <w:b/>
                <w:sz w:val="16"/>
                <w:szCs w:val="16"/>
              </w:rPr>
              <w:t>7</w:t>
            </w:r>
          </w:p>
        </w:tc>
        <w:tc>
          <w:tcPr>
            <w:tcW w:w="1620" w:type="dxa"/>
            <w:tcBorders>
              <w:bottom w:val="single" w:sz="4" w:space="0" w:color="auto"/>
            </w:tcBorders>
            <w:tcMar>
              <w:top w:w="57" w:type="dxa"/>
              <w:left w:w="113" w:type="dxa"/>
              <w:bottom w:w="57" w:type="dxa"/>
            </w:tcMar>
            <w:vAlign w:val="center"/>
          </w:tcPr>
          <w:p w14:paraId="3443E94C" w14:textId="73909942" w:rsidR="00F25DB1" w:rsidRPr="00F25DB1" w:rsidRDefault="03AC8C4E" w:rsidP="06E2C765">
            <w:pPr>
              <w:spacing w:after="0" w:line="240" w:lineRule="auto"/>
              <w:ind w:left="-15"/>
              <w:rPr>
                <w:rFonts w:ascii="Verdana" w:hAnsi="Verdana" w:cs="Arial"/>
                <w:sz w:val="16"/>
                <w:szCs w:val="16"/>
              </w:rPr>
            </w:pPr>
            <w:r w:rsidRPr="4563F471">
              <w:rPr>
                <w:rFonts w:ascii="Verdana" w:eastAsia="Times New Roman" w:hAnsi="Verdana" w:cs="Arial"/>
                <w:color w:val="000000" w:themeColor="text1"/>
                <w:sz w:val="16"/>
                <w:szCs w:val="16"/>
                <w:lang w:eastAsia="es-CO"/>
              </w:rPr>
              <w:t>(H) Remitir Resolución</w:t>
            </w:r>
          </w:p>
        </w:tc>
        <w:tc>
          <w:tcPr>
            <w:tcW w:w="2032" w:type="dxa"/>
            <w:tcBorders>
              <w:bottom w:val="single" w:sz="4" w:space="0" w:color="auto"/>
            </w:tcBorders>
            <w:tcMar>
              <w:top w:w="57" w:type="dxa"/>
              <w:left w:w="113" w:type="dxa"/>
              <w:bottom w:w="57" w:type="dxa"/>
            </w:tcMar>
            <w:vAlign w:val="center"/>
          </w:tcPr>
          <w:p w14:paraId="2C59CBD2" w14:textId="1A72E3A7" w:rsidR="00F25DB1" w:rsidRPr="00F25DB1" w:rsidRDefault="267650C9" w:rsidP="00F25DB1">
            <w:pPr>
              <w:spacing w:after="0" w:line="240" w:lineRule="auto"/>
              <w:ind w:left="-15"/>
              <w:jc w:val="center"/>
              <w:rPr>
                <w:rFonts w:ascii="Verdana" w:hAnsi="Verdana" w:cs="Arial"/>
                <w:sz w:val="16"/>
                <w:szCs w:val="16"/>
              </w:rPr>
            </w:pPr>
            <w:r w:rsidRPr="06E2C765">
              <w:rPr>
                <w:rFonts w:ascii="Verdana" w:eastAsia="Times New Roman" w:hAnsi="Verdana" w:cs="Arial"/>
                <w:color w:val="000000" w:themeColor="text1"/>
                <w:sz w:val="16"/>
                <w:szCs w:val="16"/>
                <w:lang w:eastAsia="es-CO"/>
              </w:rPr>
              <w:t>Coordinador Grupo Administrativa</w:t>
            </w:r>
          </w:p>
        </w:tc>
        <w:tc>
          <w:tcPr>
            <w:tcW w:w="4970" w:type="dxa"/>
            <w:tcBorders>
              <w:bottom w:val="single" w:sz="4" w:space="0" w:color="auto"/>
            </w:tcBorders>
            <w:tcMar>
              <w:top w:w="57" w:type="dxa"/>
              <w:left w:w="113" w:type="dxa"/>
              <w:bottom w:w="57" w:type="dxa"/>
            </w:tcMar>
            <w:vAlign w:val="center"/>
          </w:tcPr>
          <w:p w14:paraId="7B259299" w14:textId="7E8BDE9D" w:rsidR="267650C9" w:rsidRDefault="267650C9" w:rsidP="06E2C765">
            <w:pPr>
              <w:spacing w:after="0" w:line="240" w:lineRule="auto"/>
              <w:ind w:left="-15"/>
              <w:jc w:val="both"/>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 xml:space="preserve">Enviar el proyecto de Resolución con destino a la </w:t>
            </w:r>
            <w:bookmarkStart w:id="16" w:name="_Int_tzL4iGFu"/>
            <w:proofErr w:type="gramStart"/>
            <w:r w:rsidRPr="06E2C765">
              <w:rPr>
                <w:rFonts w:ascii="Verdana" w:eastAsia="Times New Roman" w:hAnsi="Verdana" w:cs="Arial"/>
                <w:color w:val="000000" w:themeColor="text1"/>
                <w:sz w:val="16"/>
                <w:szCs w:val="16"/>
                <w:lang w:eastAsia="es-CO"/>
              </w:rPr>
              <w:t>Secretaria General</w:t>
            </w:r>
            <w:bookmarkEnd w:id="16"/>
            <w:proofErr w:type="gramEnd"/>
            <w:r w:rsidRPr="06E2C765">
              <w:rPr>
                <w:rFonts w:ascii="Verdana" w:eastAsia="Times New Roman" w:hAnsi="Verdana" w:cs="Arial"/>
                <w:color w:val="000000" w:themeColor="text1"/>
                <w:sz w:val="16"/>
                <w:szCs w:val="16"/>
                <w:lang w:eastAsia="es-CO"/>
              </w:rPr>
              <w:t xml:space="preserve"> o a quien corresponda.</w:t>
            </w:r>
          </w:p>
          <w:p w14:paraId="0BED0E82" w14:textId="1997BD40" w:rsidR="00F25DB1" w:rsidRPr="00F25DB1" w:rsidRDefault="00F25DB1" w:rsidP="00F25DB1">
            <w:pPr>
              <w:spacing w:after="0" w:line="240" w:lineRule="auto"/>
              <w:ind w:left="-15"/>
              <w:jc w:val="both"/>
              <w:rPr>
                <w:rFonts w:ascii="Verdana" w:hAnsi="Verdana" w:cs="Arial"/>
                <w:sz w:val="16"/>
                <w:szCs w:val="16"/>
              </w:rPr>
            </w:pPr>
            <w:r>
              <w:br/>
            </w:r>
            <w:r w:rsidRPr="546A49A2">
              <w:rPr>
                <w:rFonts w:ascii="Verdana" w:eastAsia="Times New Roman" w:hAnsi="Verdana" w:cs="Arial"/>
                <w:b/>
                <w:bCs/>
                <w:color w:val="000000" w:themeColor="text1"/>
                <w:sz w:val="16"/>
                <w:szCs w:val="16"/>
                <w:lang w:eastAsia="es-CO"/>
              </w:rPr>
              <w:t>Tiempo:</w:t>
            </w:r>
            <w:r w:rsidRPr="546A49A2">
              <w:rPr>
                <w:rFonts w:ascii="Verdana" w:eastAsia="Times New Roman" w:hAnsi="Verdana" w:cs="Arial"/>
                <w:color w:val="000000" w:themeColor="text1"/>
                <w:sz w:val="16"/>
                <w:szCs w:val="16"/>
                <w:lang w:eastAsia="es-CO"/>
              </w:rPr>
              <w:t xml:space="preserve"> </w:t>
            </w:r>
            <w:r w:rsidR="2275EE54" w:rsidRPr="546A49A2">
              <w:rPr>
                <w:rFonts w:ascii="Verdana" w:eastAsia="Times New Roman" w:hAnsi="Verdana" w:cs="Arial"/>
                <w:color w:val="000000" w:themeColor="text1"/>
                <w:sz w:val="16"/>
                <w:szCs w:val="16"/>
                <w:lang w:eastAsia="es-CO"/>
              </w:rPr>
              <w:t>1 día</w:t>
            </w:r>
          </w:p>
        </w:tc>
        <w:tc>
          <w:tcPr>
            <w:tcW w:w="1581" w:type="dxa"/>
            <w:tcBorders>
              <w:bottom w:val="single" w:sz="4" w:space="0" w:color="auto"/>
            </w:tcBorders>
            <w:tcMar>
              <w:top w:w="57" w:type="dxa"/>
              <w:left w:w="113" w:type="dxa"/>
              <w:bottom w:w="57" w:type="dxa"/>
            </w:tcMar>
            <w:vAlign w:val="center"/>
          </w:tcPr>
          <w:p w14:paraId="20525530" w14:textId="2FDCBC9B" w:rsidR="00143548" w:rsidRPr="00F25DB1" w:rsidRDefault="4E746F4D" w:rsidP="00F25DB1">
            <w:pPr>
              <w:spacing w:after="0" w:line="240" w:lineRule="auto"/>
              <w:ind w:left="-15"/>
              <w:jc w:val="center"/>
              <w:rPr>
                <w:rFonts w:ascii="Verdana" w:hAnsi="Verdana" w:cs="Arial"/>
                <w:sz w:val="16"/>
                <w:szCs w:val="16"/>
              </w:rPr>
            </w:pPr>
            <w:r w:rsidRPr="06E2C765">
              <w:rPr>
                <w:rFonts w:ascii="Verdana" w:hAnsi="Verdana" w:cs="Arial"/>
                <w:sz w:val="16"/>
                <w:szCs w:val="16"/>
              </w:rPr>
              <w:t>Memorando remisorio</w:t>
            </w:r>
            <w:r w:rsidR="21685897" w:rsidRPr="06E2C765">
              <w:rPr>
                <w:rFonts w:ascii="Verdana" w:hAnsi="Verdana" w:cs="Arial"/>
                <w:sz w:val="16"/>
                <w:szCs w:val="16"/>
              </w:rPr>
              <w:t xml:space="preserve"> </w:t>
            </w:r>
          </w:p>
        </w:tc>
      </w:tr>
      <w:tr w:rsidR="006F1179" w:rsidRPr="00AA2563" w14:paraId="135BF742" w14:textId="77777777" w:rsidTr="3E48EDB1">
        <w:trPr>
          <w:trHeight w:val="545"/>
        </w:trPr>
        <w:tc>
          <w:tcPr>
            <w:tcW w:w="565" w:type="dxa"/>
            <w:tcBorders>
              <w:bottom w:val="single" w:sz="4" w:space="0" w:color="auto"/>
            </w:tcBorders>
            <w:tcMar>
              <w:top w:w="57" w:type="dxa"/>
              <w:left w:w="113" w:type="dxa"/>
              <w:bottom w:w="57" w:type="dxa"/>
            </w:tcMar>
            <w:vAlign w:val="center"/>
          </w:tcPr>
          <w:p w14:paraId="7DF46225" w14:textId="02C62206" w:rsidR="006F1179" w:rsidRPr="00666AB9" w:rsidRDefault="006F1179" w:rsidP="006F1179">
            <w:pPr>
              <w:spacing w:after="0" w:line="240" w:lineRule="auto"/>
              <w:ind w:left="-15"/>
              <w:jc w:val="center"/>
              <w:rPr>
                <w:rFonts w:ascii="Verdana" w:hAnsi="Verdana" w:cs="Arial"/>
                <w:b/>
                <w:sz w:val="16"/>
                <w:szCs w:val="16"/>
              </w:rPr>
            </w:pPr>
            <w:r>
              <w:rPr>
                <w:rFonts w:ascii="Verdana" w:hAnsi="Verdana" w:cs="Arial"/>
                <w:b/>
                <w:sz w:val="16"/>
                <w:szCs w:val="16"/>
              </w:rPr>
              <w:t>8</w:t>
            </w:r>
          </w:p>
        </w:tc>
        <w:tc>
          <w:tcPr>
            <w:tcW w:w="1620" w:type="dxa"/>
            <w:tcBorders>
              <w:bottom w:val="single" w:sz="4" w:space="0" w:color="auto"/>
            </w:tcBorders>
            <w:tcMar>
              <w:top w:w="57" w:type="dxa"/>
              <w:left w:w="113" w:type="dxa"/>
              <w:bottom w:w="57" w:type="dxa"/>
            </w:tcMar>
            <w:vAlign w:val="center"/>
          </w:tcPr>
          <w:p w14:paraId="23661FBA" w14:textId="328FA4E1" w:rsidR="006F1179" w:rsidRPr="006F1179" w:rsidRDefault="24478591" w:rsidP="06E2C765">
            <w:pPr>
              <w:spacing w:after="0" w:line="240" w:lineRule="auto"/>
              <w:ind w:left="-15"/>
              <w:rPr>
                <w:rFonts w:ascii="Verdana" w:hAnsi="Verdana" w:cs="Arial"/>
                <w:sz w:val="16"/>
                <w:szCs w:val="16"/>
              </w:rPr>
            </w:pPr>
            <w:r w:rsidRPr="4563F471">
              <w:rPr>
                <w:rFonts w:ascii="Verdana" w:eastAsia="Times New Roman" w:hAnsi="Verdana" w:cs="Arial"/>
                <w:color w:val="000000" w:themeColor="text1"/>
                <w:sz w:val="16"/>
                <w:szCs w:val="16"/>
                <w:lang w:eastAsia="es-CO"/>
              </w:rPr>
              <w:t>(A) Suscribir Resolución</w:t>
            </w:r>
          </w:p>
        </w:tc>
        <w:tc>
          <w:tcPr>
            <w:tcW w:w="2032" w:type="dxa"/>
            <w:tcBorders>
              <w:bottom w:val="single" w:sz="4" w:space="0" w:color="auto"/>
            </w:tcBorders>
            <w:tcMar>
              <w:top w:w="57" w:type="dxa"/>
              <w:left w:w="113" w:type="dxa"/>
              <w:bottom w:w="57" w:type="dxa"/>
            </w:tcMar>
            <w:vAlign w:val="center"/>
          </w:tcPr>
          <w:p w14:paraId="1FDBE6D5" w14:textId="4C514AAC" w:rsidR="006F1179" w:rsidRPr="006F1179" w:rsidRDefault="35A5BEF5" w:rsidP="006F1179">
            <w:pPr>
              <w:spacing w:after="0" w:line="240" w:lineRule="auto"/>
              <w:ind w:left="-15"/>
              <w:jc w:val="center"/>
              <w:rPr>
                <w:rFonts w:ascii="Verdana" w:hAnsi="Verdana" w:cs="Arial"/>
                <w:sz w:val="16"/>
                <w:szCs w:val="16"/>
              </w:rPr>
            </w:pPr>
            <w:r w:rsidRPr="06E2C765">
              <w:rPr>
                <w:rFonts w:ascii="Verdana" w:eastAsia="Times New Roman" w:hAnsi="Verdana" w:cs="Arial"/>
                <w:color w:val="000000" w:themeColor="text1"/>
                <w:sz w:val="16"/>
                <w:szCs w:val="16"/>
                <w:lang w:eastAsia="es-CO"/>
              </w:rPr>
              <w:t>Asesor Secretaría General</w:t>
            </w:r>
          </w:p>
        </w:tc>
        <w:tc>
          <w:tcPr>
            <w:tcW w:w="4970" w:type="dxa"/>
            <w:tcBorders>
              <w:bottom w:val="single" w:sz="4" w:space="0" w:color="auto"/>
            </w:tcBorders>
            <w:tcMar>
              <w:top w:w="57" w:type="dxa"/>
              <w:left w:w="113" w:type="dxa"/>
              <w:bottom w:w="57" w:type="dxa"/>
            </w:tcMar>
            <w:vAlign w:val="center"/>
          </w:tcPr>
          <w:p w14:paraId="459483C0" w14:textId="72F08CA5" w:rsidR="35A5BEF5" w:rsidRDefault="35A5BEF5" w:rsidP="06E2C765">
            <w:pPr>
              <w:spacing w:after="0" w:line="240" w:lineRule="auto"/>
              <w:ind w:left="-15"/>
              <w:jc w:val="both"/>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 xml:space="preserve">Revisar y aprobar el contenido de la Resolución, esta deberá ser suscrita por el </w:t>
            </w:r>
            <w:bookmarkStart w:id="17" w:name="_Int_cocE6afl"/>
            <w:proofErr w:type="gramStart"/>
            <w:r w:rsidRPr="06E2C765">
              <w:rPr>
                <w:rFonts w:ascii="Verdana" w:eastAsia="Times New Roman" w:hAnsi="Verdana" w:cs="Arial"/>
                <w:color w:val="000000" w:themeColor="text1"/>
                <w:sz w:val="16"/>
                <w:szCs w:val="16"/>
                <w:lang w:eastAsia="es-CO"/>
              </w:rPr>
              <w:t>Secretario General</w:t>
            </w:r>
            <w:bookmarkEnd w:id="17"/>
            <w:proofErr w:type="gramEnd"/>
            <w:r w:rsidRPr="06E2C765">
              <w:rPr>
                <w:rFonts w:ascii="Verdana" w:eastAsia="Times New Roman" w:hAnsi="Verdana" w:cs="Arial"/>
                <w:color w:val="000000" w:themeColor="text1"/>
                <w:sz w:val="16"/>
                <w:szCs w:val="16"/>
                <w:lang w:eastAsia="es-CO"/>
              </w:rPr>
              <w:t xml:space="preserve"> del MinCIT o a quien corresponda.</w:t>
            </w:r>
          </w:p>
          <w:p w14:paraId="50168A08" w14:textId="77777777" w:rsidR="00691185" w:rsidRDefault="00691185" w:rsidP="006F1179">
            <w:pPr>
              <w:spacing w:after="0" w:line="240" w:lineRule="auto"/>
              <w:ind w:left="-15"/>
              <w:jc w:val="both"/>
              <w:rPr>
                <w:rFonts w:ascii="Verdana" w:hAnsi="Verdana" w:cs="Arial"/>
                <w:b/>
                <w:bCs/>
                <w:sz w:val="16"/>
                <w:szCs w:val="16"/>
              </w:rPr>
            </w:pPr>
          </w:p>
          <w:p w14:paraId="52333F10" w14:textId="6AC45B8F" w:rsidR="00691185" w:rsidRPr="006F1179" w:rsidRDefault="0F8B80EF" w:rsidP="06E2C765">
            <w:pPr>
              <w:spacing w:after="0" w:line="240" w:lineRule="auto"/>
              <w:ind w:left="-15"/>
              <w:jc w:val="both"/>
              <w:rPr>
                <w:rFonts w:ascii="Verdana" w:eastAsia="Times New Roman" w:hAnsi="Verdana" w:cs="Arial"/>
                <w:b/>
                <w:bCs/>
                <w:sz w:val="16"/>
                <w:szCs w:val="16"/>
                <w:lang w:eastAsia="es-CO"/>
              </w:rPr>
            </w:pPr>
            <w:r w:rsidRPr="06E2C765">
              <w:rPr>
                <w:rFonts w:ascii="Verdana" w:eastAsia="Times New Roman" w:hAnsi="Verdana" w:cs="Arial"/>
                <w:b/>
                <w:bCs/>
                <w:sz w:val="16"/>
                <w:szCs w:val="16"/>
                <w:lang w:eastAsia="es-CO"/>
              </w:rPr>
              <w:t xml:space="preserve">Tiempo: </w:t>
            </w:r>
            <w:r w:rsidR="39F7C003" w:rsidRPr="06E2C765">
              <w:rPr>
                <w:rFonts w:ascii="Verdana" w:eastAsia="Times New Roman" w:hAnsi="Verdana" w:cs="Arial"/>
                <w:sz w:val="16"/>
                <w:szCs w:val="16"/>
                <w:lang w:eastAsia="es-CO"/>
              </w:rPr>
              <w:t xml:space="preserve">3 días </w:t>
            </w:r>
            <w:r w:rsidR="502B82CF" w:rsidRPr="06E2C765">
              <w:rPr>
                <w:rFonts w:ascii="Verdana" w:eastAsia="Times New Roman" w:hAnsi="Verdana" w:cs="Arial"/>
                <w:sz w:val="16"/>
                <w:szCs w:val="16"/>
                <w:lang w:eastAsia="es-CO"/>
              </w:rPr>
              <w:t>hábiles</w:t>
            </w:r>
            <w:r w:rsidR="39F7C003" w:rsidRPr="06E2C765">
              <w:rPr>
                <w:rFonts w:ascii="Verdana" w:eastAsia="Times New Roman" w:hAnsi="Verdana" w:cs="Arial"/>
                <w:sz w:val="16"/>
                <w:szCs w:val="16"/>
                <w:lang w:eastAsia="es-CO"/>
              </w:rPr>
              <w:t>.</w:t>
            </w:r>
          </w:p>
        </w:tc>
        <w:tc>
          <w:tcPr>
            <w:tcW w:w="1581" w:type="dxa"/>
            <w:tcBorders>
              <w:bottom w:val="single" w:sz="4" w:space="0" w:color="auto"/>
            </w:tcBorders>
            <w:tcMar>
              <w:top w:w="57" w:type="dxa"/>
              <w:left w:w="113" w:type="dxa"/>
              <w:bottom w:w="57" w:type="dxa"/>
            </w:tcMar>
            <w:vAlign w:val="center"/>
          </w:tcPr>
          <w:p w14:paraId="13071FCF" w14:textId="351D3312" w:rsidR="006F1179" w:rsidRPr="006F1179" w:rsidRDefault="7A21765B" w:rsidP="006F1179">
            <w:pPr>
              <w:spacing w:after="0" w:line="240" w:lineRule="auto"/>
              <w:ind w:left="-15"/>
              <w:jc w:val="center"/>
              <w:rPr>
                <w:rFonts w:ascii="Verdana" w:hAnsi="Verdana" w:cs="Arial"/>
                <w:sz w:val="16"/>
                <w:szCs w:val="16"/>
              </w:rPr>
            </w:pPr>
            <w:r w:rsidRPr="06E2C765">
              <w:rPr>
                <w:rFonts w:ascii="Verdana" w:eastAsia="Times New Roman" w:hAnsi="Verdana" w:cs="Arial"/>
                <w:color w:val="000000" w:themeColor="text1"/>
                <w:sz w:val="16"/>
                <w:szCs w:val="16"/>
                <w:lang w:eastAsia="es-CO"/>
              </w:rPr>
              <w:t>Resolución firmada</w:t>
            </w:r>
          </w:p>
        </w:tc>
      </w:tr>
      <w:tr w:rsidR="006F1179" w:rsidRPr="00666AB9" w14:paraId="6B27C12A" w14:textId="77777777" w:rsidTr="3E48EDB1">
        <w:trPr>
          <w:trHeight w:val="545"/>
        </w:trPr>
        <w:tc>
          <w:tcPr>
            <w:tcW w:w="565" w:type="dxa"/>
            <w:tcMar>
              <w:top w:w="57" w:type="dxa"/>
              <w:left w:w="113" w:type="dxa"/>
              <w:bottom w:w="57" w:type="dxa"/>
            </w:tcMar>
            <w:vAlign w:val="center"/>
          </w:tcPr>
          <w:p w14:paraId="4A5049B1" w14:textId="04DF2992" w:rsidR="006F1179" w:rsidRPr="00666AB9" w:rsidRDefault="006F1179" w:rsidP="006F1179">
            <w:pPr>
              <w:spacing w:after="0" w:line="240" w:lineRule="auto"/>
              <w:ind w:left="-15"/>
              <w:jc w:val="center"/>
              <w:rPr>
                <w:rFonts w:ascii="Verdana" w:hAnsi="Verdana" w:cs="Arial"/>
                <w:b/>
                <w:sz w:val="16"/>
                <w:szCs w:val="16"/>
              </w:rPr>
            </w:pPr>
            <w:r>
              <w:rPr>
                <w:rFonts w:ascii="Verdana" w:hAnsi="Verdana" w:cs="Arial"/>
                <w:b/>
                <w:sz w:val="16"/>
                <w:szCs w:val="16"/>
              </w:rPr>
              <w:t>9</w:t>
            </w:r>
          </w:p>
        </w:tc>
        <w:tc>
          <w:tcPr>
            <w:tcW w:w="1620" w:type="dxa"/>
            <w:tcMar>
              <w:top w:w="57" w:type="dxa"/>
              <w:left w:w="113" w:type="dxa"/>
              <w:bottom w:w="57" w:type="dxa"/>
            </w:tcMar>
            <w:vAlign w:val="center"/>
          </w:tcPr>
          <w:p w14:paraId="0527EF1C" w14:textId="65E53F16" w:rsidR="006F1179" w:rsidRPr="006F1179" w:rsidRDefault="0122B104" w:rsidP="06E2C765">
            <w:pPr>
              <w:spacing w:after="0" w:line="240" w:lineRule="auto"/>
              <w:ind w:left="-15"/>
              <w:rPr>
                <w:rFonts w:ascii="Verdana" w:hAnsi="Verdana" w:cs="Arial"/>
                <w:sz w:val="16"/>
                <w:szCs w:val="16"/>
              </w:rPr>
            </w:pPr>
            <w:r w:rsidRPr="4563F471">
              <w:rPr>
                <w:rFonts w:ascii="Verdana" w:eastAsia="Times New Roman" w:hAnsi="Verdana" w:cs="Arial"/>
                <w:color w:val="000000" w:themeColor="text1"/>
                <w:sz w:val="16"/>
                <w:szCs w:val="16"/>
                <w:lang w:eastAsia="es-CO"/>
              </w:rPr>
              <w:t>(H) Emitir comunicación a entidades</w:t>
            </w:r>
          </w:p>
        </w:tc>
        <w:tc>
          <w:tcPr>
            <w:tcW w:w="2032" w:type="dxa"/>
            <w:tcMar>
              <w:top w:w="57" w:type="dxa"/>
              <w:left w:w="113" w:type="dxa"/>
              <w:bottom w:w="57" w:type="dxa"/>
            </w:tcMar>
            <w:vAlign w:val="center"/>
          </w:tcPr>
          <w:p w14:paraId="680CB68C" w14:textId="381BE800" w:rsidR="006F1179" w:rsidRPr="006F1179" w:rsidRDefault="656A3DBF" w:rsidP="006F1179">
            <w:pPr>
              <w:spacing w:after="0" w:line="240" w:lineRule="auto"/>
              <w:ind w:left="-15"/>
              <w:jc w:val="center"/>
              <w:rPr>
                <w:rFonts w:ascii="Verdana" w:hAnsi="Verdana" w:cs="Arial"/>
                <w:sz w:val="16"/>
                <w:szCs w:val="16"/>
              </w:rPr>
            </w:pPr>
            <w:r w:rsidRPr="06E2C765">
              <w:rPr>
                <w:rFonts w:ascii="Verdana" w:eastAsia="Times New Roman" w:hAnsi="Verdana" w:cs="Arial"/>
                <w:color w:val="000000" w:themeColor="text1"/>
                <w:sz w:val="16"/>
                <w:szCs w:val="16"/>
                <w:lang w:eastAsia="es-CO"/>
              </w:rPr>
              <w:t>Coordinador del Grupo Administrativa</w:t>
            </w:r>
          </w:p>
        </w:tc>
        <w:tc>
          <w:tcPr>
            <w:tcW w:w="4970" w:type="dxa"/>
            <w:tcMar>
              <w:top w:w="57" w:type="dxa"/>
              <w:left w:w="113" w:type="dxa"/>
              <w:bottom w:w="57" w:type="dxa"/>
            </w:tcMar>
            <w:vAlign w:val="center"/>
          </w:tcPr>
          <w:p w14:paraId="07917C9E" w14:textId="03AA71A8" w:rsidR="656A3DBF" w:rsidRDefault="656A3DBF" w:rsidP="06E2C765">
            <w:pPr>
              <w:spacing w:after="0" w:line="240" w:lineRule="auto"/>
              <w:ind w:left="-15"/>
              <w:jc w:val="both"/>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Ofrecer a las entidades públicas del orden nacional o territorial de la Región en que se encuentra ubicado el bien inmueble, a CISA o entidad que la remplace, o la Entidad que determine la ley, según corresponda, el interés para su transferencia.</w:t>
            </w:r>
          </w:p>
          <w:p w14:paraId="4EA84CF3" w14:textId="77777777" w:rsidR="00691185" w:rsidRDefault="00691185" w:rsidP="006F1179">
            <w:pPr>
              <w:spacing w:after="0" w:line="240" w:lineRule="auto"/>
              <w:ind w:left="-15"/>
              <w:jc w:val="both"/>
              <w:rPr>
                <w:rFonts w:ascii="Verdana" w:hAnsi="Verdana" w:cs="Arial"/>
                <w:sz w:val="16"/>
                <w:szCs w:val="16"/>
              </w:rPr>
            </w:pPr>
          </w:p>
          <w:p w14:paraId="4AC40D99" w14:textId="4988030C" w:rsidR="00691185" w:rsidRPr="006F1179" w:rsidRDefault="45143C4E" w:rsidP="06E2C765">
            <w:pPr>
              <w:spacing w:after="0" w:line="240" w:lineRule="auto"/>
              <w:ind w:left="-15"/>
              <w:jc w:val="both"/>
              <w:rPr>
                <w:rFonts w:ascii="Verdana" w:hAnsi="Verdana" w:cs="Arial"/>
                <w:b/>
                <w:bCs/>
                <w:sz w:val="16"/>
                <w:szCs w:val="16"/>
              </w:rPr>
            </w:pPr>
            <w:r w:rsidRPr="06E2C765">
              <w:rPr>
                <w:rFonts w:ascii="Verdana" w:eastAsia="Times New Roman" w:hAnsi="Verdana" w:cs="Arial"/>
                <w:b/>
                <w:bCs/>
                <w:sz w:val="16"/>
                <w:szCs w:val="16"/>
                <w:lang w:eastAsia="es-CO"/>
              </w:rPr>
              <w:t xml:space="preserve">Tiempo: </w:t>
            </w:r>
            <w:r w:rsidRPr="06E2C765">
              <w:rPr>
                <w:rFonts w:ascii="Verdana" w:eastAsia="Times New Roman" w:hAnsi="Verdana" w:cs="Arial"/>
                <w:sz w:val="16"/>
                <w:szCs w:val="16"/>
                <w:lang w:eastAsia="es-CO"/>
              </w:rPr>
              <w:t>Una vez al año o según se requiera para ejecutar el acto administrativo</w:t>
            </w:r>
            <w:r w:rsidR="5E71D0D9" w:rsidRPr="06E2C765">
              <w:rPr>
                <w:rFonts w:ascii="Verdana" w:eastAsia="Times New Roman" w:hAnsi="Verdana" w:cs="Arial"/>
                <w:sz w:val="16"/>
                <w:szCs w:val="16"/>
                <w:lang w:eastAsia="es-CO"/>
              </w:rPr>
              <w:t>.</w:t>
            </w:r>
            <w:r w:rsidRPr="06E2C765">
              <w:rPr>
                <w:rFonts w:ascii="Verdana" w:eastAsia="Times New Roman" w:hAnsi="Verdana" w:cs="Arial"/>
                <w:sz w:val="16"/>
                <w:szCs w:val="16"/>
                <w:lang w:eastAsia="es-CO"/>
              </w:rPr>
              <w:t xml:space="preserve"> </w:t>
            </w:r>
          </w:p>
        </w:tc>
        <w:tc>
          <w:tcPr>
            <w:tcW w:w="1581" w:type="dxa"/>
            <w:tcMar>
              <w:top w:w="57" w:type="dxa"/>
              <w:left w:w="113" w:type="dxa"/>
              <w:bottom w:w="57" w:type="dxa"/>
            </w:tcMar>
            <w:vAlign w:val="center"/>
          </w:tcPr>
          <w:p w14:paraId="5E4A8045" w14:textId="31013220" w:rsidR="006F1179" w:rsidRPr="006F1179" w:rsidRDefault="3093C7FC" w:rsidP="006F1179">
            <w:pPr>
              <w:spacing w:after="0" w:line="240" w:lineRule="auto"/>
              <w:ind w:left="-15"/>
              <w:jc w:val="center"/>
              <w:rPr>
                <w:rFonts w:ascii="Verdana" w:hAnsi="Verdana" w:cs="Arial"/>
                <w:sz w:val="16"/>
                <w:szCs w:val="16"/>
              </w:rPr>
            </w:pPr>
            <w:r w:rsidRPr="06E2C765">
              <w:rPr>
                <w:rFonts w:ascii="Verdana" w:eastAsia="Times New Roman" w:hAnsi="Verdana" w:cs="Arial"/>
                <w:color w:val="000000" w:themeColor="text1"/>
                <w:sz w:val="16"/>
                <w:szCs w:val="16"/>
                <w:lang w:eastAsia="es-CO"/>
              </w:rPr>
              <w:t>Comunicación externa a las entidades públicas, por medio de la página web institucional</w:t>
            </w:r>
          </w:p>
        </w:tc>
      </w:tr>
      <w:tr w:rsidR="06E2C765" w14:paraId="48700C4D" w14:textId="77777777" w:rsidTr="3E48EDB1">
        <w:trPr>
          <w:trHeight w:val="545"/>
        </w:trPr>
        <w:tc>
          <w:tcPr>
            <w:tcW w:w="565" w:type="dxa"/>
            <w:tcMar>
              <w:top w:w="57" w:type="dxa"/>
              <w:left w:w="113" w:type="dxa"/>
              <w:bottom w:w="57" w:type="dxa"/>
            </w:tcMar>
            <w:vAlign w:val="center"/>
          </w:tcPr>
          <w:p w14:paraId="2C97168F" w14:textId="430C2677" w:rsidR="6EF345A9" w:rsidRDefault="6EF345A9" w:rsidP="06E2C765">
            <w:pPr>
              <w:spacing w:line="240" w:lineRule="auto"/>
              <w:jc w:val="center"/>
              <w:rPr>
                <w:rFonts w:ascii="Verdana" w:hAnsi="Verdana" w:cs="Arial"/>
                <w:b/>
                <w:bCs/>
                <w:sz w:val="16"/>
                <w:szCs w:val="16"/>
              </w:rPr>
            </w:pPr>
            <w:r w:rsidRPr="06E2C765">
              <w:rPr>
                <w:rFonts w:ascii="Verdana" w:hAnsi="Verdana" w:cs="Arial"/>
                <w:b/>
                <w:bCs/>
                <w:sz w:val="16"/>
                <w:szCs w:val="16"/>
              </w:rPr>
              <w:t>10</w:t>
            </w:r>
          </w:p>
        </w:tc>
        <w:tc>
          <w:tcPr>
            <w:tcW w:w="1620" w:type="dxa"/>
            <w:tcMar>
              <w:top w:w="57" w:type="dxa"/>
              <w:left w:w="113" w:type="dxa"/>
              <w:bottom w:w="57" w:type="dxa"/>
            </w:tcMar>
            <w:vAlign w:val="center"/>
          </w:tcPr>
          <w:p w14:paraId="00E646C4" w14:textId="123B22D6" w:rsidR="1E67FB16" w:rsidRDefault="1E67FB16" w:rsidP="06E2C765">
            <w:pPr>
              <w:spacing w:line="240" w:lineRule="auto"/>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(V) Analizar solicitud, anexos y documentación aportada con ésta</w:t>
            </w:r>
          </w:p>
        </w:tc>
        <w:tc>
          <w:tcPr>
            <w:tcW w:w="2032" w:type="dxa"/>
            <w:tcMar>
              <w:top w:w="57" w:type="dxa"/>
              <w:left w:w="113" w:type="dxa"/>
              <w:bottom w:w="57" w:type="dxa"/>
            </w:tcMar>
            <w:vAlign w:val="center"/>
          </w:tcPr>
          <w:p w14:paraId="1FA8AE9C" w14:textId="468470D1" w:rsidR="1E67FB16" w:rsidRDefault="1E67FB16"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Coordinador del Grupo Administrativa</w:t>
            </w:r>
          </w:p>
        </w:tc>
        <w:tc>
          <w:tcPr>
            <w:tcW w:w="4970" w:type="dxa"/>
            <w:tcMar>
              <w:top w:w="57" w:type="dxa"/>
              <w:left w:w="113" w:type="dxa"/>
              <w:bottom w:w="57" w:type="dxa"/>
            </w:tcMar>
            <w:vAlign w:val="center"/>
          </w:tcPr>
          <w:p w14:paraId="05CD22B8" w14:textId="0EC1F315" w:rsidR="725AF8D1" w:rsidRDefault="649DBF1D" w:rsidP="4563F471">
            <w:pPr>
              <w:spacing w:line="240" w:lineRule="auto"/>
              <w:jc w:val="both"/>
              <w:rPr>
                <w:rFonts w:ascii="Arial" w:eastAsia="Arial" w:hAnsi="Arial" w:cs="Arial"/>
                <w:color w:val="000000" w:themeColor="text1"/>
                <w:sz w:val="18"/>
                <w:szCs w:val="18"/>
              </w:rPr>
            </w:pPr>
            <w:r w:rsidRPr="4563F471">
              <w:rPr>
                <w:rFonts w:ascii="Verdana" w:eastAsia="Verdana" w:hAnsi="Verdana" w:cs="Verdana"/>
                <w:color w:val="000000" w:themeColor="text1"/>
                <w:sz w:val="16"/>
                <w:szCs w:val="16"/>
              </w:rPr>
              <w:t>Verificar a la luz de la normatividad vigente si la solicitud y la documentación aportada por la posible entidad pública receptora cumplen con los requisitos legales para determinar y hacer efectiva la viabilidad de la transferencia o enajenación a título gratuito entre Entidades del Estado de los Bienes Inmuebles. En caso de que la solicitud no cumpla los requisitos, se notifica al solicitante para los ajustes del caso.</w:t>
            </w:r>
            <w:r w:rsidR="725AF8D1">
              <w:br/>
            </w:r>
            <w:r w:rsidR="725AF8D1">
              <w:br/>
            </w:r>
            <w:r w:rsidRPr="4563F471">
              <w:rPr>
                <w:rFonts w:ascii="Verdana" w:eastAsia="Verdana" w:hAnsi="Verdana" w:cs="Verdana"/>
                <w:b/>
                <w:bCs/>
                <w:color w:val="000000" w:themeColor="text1"/>
                <w:sz w:val="16"/>
                <w:szCs w:val="16"/>
              </w:rPr>
              <w:t xml:space="preserve">Tiempo: </w:t>
            </w:r>
            <w:r w:rsidR="4806100A" w:rsidRPr="4563F471">
              <w:rPr>
                <w:rFonts w:ascii="Verdana" w:eastAsia="Verdana" w:hAnsi="Verdana" w:cs="Verdana"/>
                <w:color w:val="000000" w:themeColor="text1"/>
                <w:sz w:val="16"/>
                <w:szCs w:val="16"/>
              </w:rPr>
              <w:t>5</w:t>
            </w:r>
            <w:r w:rsidRPr="4563F471">
              <w:rPr>
                <w:rFonts w:ascii="Verdana" w:eastAsia="Verdana" w:hAnsi="Verdana" w:cs="Verdana"/>
                <w:color w:val="000000" w:themeColor="text1"/>
                <w:sz w:val="16"/>
                <w:szCs w:val="16"/>
              </w:rPr>
              <w:t xml:space="preserve"> días.</w:t>
            </w:r>
          </w:p>
        </w:tc>
        <w:tc>
          <w:tcPr>
            <w:tcW w:w="1581" w:type="dxa"/>
            <w:tcMar>
              <w:top w:w="57" w:type="dxa"/>
              <w:left w:w="113" w:type="dxa"/>
              <w:bottom w:w="57" w:type="dxa"/>
            </w:tcMar>
            <w:vAlign w:val="center"/>
          </w:tcPr>
          <w:p w14:paraId="60FA26BD" w14:textId="77B17A6B" w:rsidR="725AF8D1" w:rsidRDefault="725AF8D1"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Formato de verificación de requisitos</w:t>
            </w:r>
          </w:p>
        </w:tc>
      </w:tr>
      <w:tr w:rsidR="06E2C765" w14:paraId="054EF21D" w14:textId="77777777" w:rsidTr="3E48EDB1">
        <w:trPr>
          <w:trHeight w:val="545"/>
        </w:trPr>
        <w:tc>
          <w:tcPr>
            <w:tcW w:w="565" w:type="dxa"/>
            <w:tcMar>
              <w:top w:w="57" w:type="dxa"/>
              <w:left w:w="113" w:type="dxa"/>
              <w:bottom w:w="57" w:type="dxa"/>
            </w:tcMar>
            <w:vAlign w:val="center"/>
          </w:tcPr>
          <w:p w14:paraId="3C0F8DEC" w14:textId="408E8CDF" w:rsidR="6EF345A9" w:rsidRDefault="6EF345A9" w:rsidP="06E2C765">
            <w:pPr>
              <w:spacing w:line="240" w:lineRule="auto"/>
              <w:jc w:val="center"/>
              <w:rPr>
                <w:rFonts w:ascii="Verdana" w:hAnsi="Verdana" w:cs="Arial"/>
                <w:b/>
                <w:bCs/>
                <w:sz w:val="16"/>
                <w:szCs w:val="16"/>
              </w:rPr>
            </w:pPr>
            <w:r w:rsidRPr="06E2C765">
              <w:rPr>
                <w:rFonts w:ascii="Verdana" w:hAnsi="Verdana" w:cs="Arial"/>
                <w:b/>
                <w:bCs/>
                <w:sz w:val="16"/>
                <w:szCs w:val="16"/>
              </w:rPr>
              <w:t>11</w:t>
            </w:r>
          </w:p>
        </w:tc>
        <w:tc>
          <w:tcPr>
            <w:tcW w:w="1620" w:type="dxa"/>
            <w:tcMar>
              <w:top w:w="57" w:type="dxa"/>
              <w:left w:w="113" w:type="dxa"/>
              <w:bottom w:w="57" w:type="dxa"/>
            </w:tcMar>
            <w:vAlign w:val="center"/>
          </w:tcPr>
          <w:p w14:paraId="5FC2AE12" w14:textId="45BAD648" w:rsidR="6CC0F829" w:rsidRDefault="6CC0F829" w:rsidP="06E2C765">
            <w:pPr>
              <w:spacing w:line="240" w:lineRule="auto"/>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(H) Proyectar Resolución</w:t>
            </w:r>
          </w:p>
        </w:tc>
        <w:tc>
          <w:tcPr>
            <w:tcW w:w="2032" w:type="dxa"/>
            <w:tcMar>
              <w:top w:w="57" w:type="dxa"/>
              <w:left w:w="113" w:type="dxa"/>
              <w:bottom w:w="57" w:type="dxa"/>
            </w:tcMar>
            <w:vAlign w:val="center"/>
          </w:tcPr>
          <w:p w14:paraId="6A58DF9A" w14:textId="6EC57E95" w:rsidR="6CC0F829" w:rsidRDefault="6CC0F829"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Coordinador del Grupo Administrativa</w:t>
            </w:r>
          </w:p>
        </w:tc>
        <w:tc>
          <w:tcPr>
            <w:tcW w:w="4970" w:type="dxa"/>
            <w:tcMar>
              <w:top w:w="57" w:type="dxa"/>
              <w:left w:w="113" w:type="dxa"/>
              <w:bottom w:w="57" w:type="dxa"/>
            </w:tcMar>
            <w:vAlign w:val="center"/>
          </w:tcPr>
          <w:p w14:paraId="3BDF07CE" w14:textId="7E4C8628" w:rsidR="6CC0F829" w:rsidRDefault="6CC0F829" w:rsidP="06E2C765">
            <w:pPr>
              <w:spacing w:line="240" w:lineRule="auto"/>
              <w:jc w:val="both"/>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Elaborar proyecto de Resolución del mecanismo de destinación o de disposición final de trasferencia a título gratuito o enajenación a título gratuito entre Entidades del Estado, o el mecanismo de destinación final de transferencia a CISA o la entidad que reemplace, o Entidad que disponga la ley de los Inmuebles, en cuya parte considerativa se ha de detallar el cumplimiento de los requisitos legales de la misma. Además, en la parte resolutiva, se deberá señalar la transferencia a realizar y la descripción detallada del bien inmueble, identificando su folio de matrícula, áreas, linderos, entre otros, y la entidad receptora.</w:t>
            </w:r>
            <w:r>
              <w:br/>
            </w:r>
            <w:r>
              <w:br/>
            </w:r>
            <w:r w:rsidRPr="06E2C765">
              <w:rPr>
                <w:rFonts w:ascii="Verdana" w:eastAsia="Times New Roman" w:hAnsi="Verdana" w:cs="Arial"/>
                <w:b/>
                <w:bCs/>
                <w:color w:val="000000" w:themeColor="text1"/>
                <w:sz w:val="16"/>
                <w:szCs w:val="16"/>
                <w:lang w:eastAsia="es-CO"/>
              </w:rPr>
              <w:t>Tiempo:</w:t>
            </w:r>
            <w:r w:rsidRPr="06E2C765">
              <w:rPr>
                <w:rFonts w:ascii="Verdana" w:eastAsia="Times New Roman" w:hAnsi="Verdana" w:cs="Arial"/>
                <w:color w:val="000000" w:themeColor="text1"/>
                <w:sz w:val="16"/>
                <w:szCs w:val="16"/>
                <w:lang w:eastAsia="es-CO"/>
              </w:rPr>
              <w:t xml:space="preserve"> 5 días.</w:t>
            </w:r>
          </w:p>
        </w:tc>
        <w:tc>
          <w:tcPr>
            <w:tcW w:w="1581" w:type="dxa"/>
            <w:tcMar>
              <w:top w:w="57" w:type="dxa"/>
              <w:left w:w="113" w:type="dxa"/>
              <w:bottom w:w="57" w:type="dxa"/>
            </w:tcMar>
            <w:vAlign w:val="center"/>
          </w:tcPr>
          <w:p w14:paraId="59B5922E" w14:textId="644DF66A" w:rsidR="6CC0F829" w:rsidRDefault="6CC0F829"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Proyecto de Resolución y memorando interno</w:t>
            </w:r>
          </w:p>
        </w:tc>
      </w:tr>
      <w:tr w:rsidR="06E2C765" w14:paraId="4F5FAF2D" w14:textId="77777777" w:rsidTr="3E48EDB1">
        <w:trPr>
          <w:trHeight w:val="545"/>
        </w:trPr>
        <w:tc>
          <w:tcPr>
            <w:tcW w:w="565" w:type="dxa"/>
            <w:tcMar>
              <w:top w:w="57" w:type="dxa"/>
              <w:left w:w="113" w:type="dxa"/>
              <w:bottom w:w="57" w:type="dxa"/>
            </w:tcMar>
            <w:vAlign w:val="center"/>
          </w:tcPr>
          <w:p w14:paraId="52552931" w14:textId="0048B592" w:rsidR="6EF345A9" w:rsidRDefault="6EF345A9" w:rsidP="06E2C765">
            <w:pPr>
              <w:spacing w:line="240" w:lineRule="auto"/>
              <w:jc w:val="center"/>
              <w:rPr>
                <w:rFonts w:ascii="Verdana" w:hAnsi="Verdana" w:cs="Arial"/>
                <w:b/>
                <w:bCs/>
                <w:sz w:val="16"/>
                <w:szCs w:val="16"/>
              </w:rPr>
            </w:pPr>
            <w:r w:rsidRPr="06E2C765">
              <w:rPr>
                <w:rFonts w:ascii="Verdana" w:hAnsi="Verdana" w:cs="Arial"/>
                <w:b/>
                <w:bCs/>
                <w:sz w:val="16"/>
                <w:szCs w:val="16"/>
              </w:rPr>
              <w:lastRenderedPageBreak/>
              <w:t>12</w:t>
            </w:r>
          </w:p>
        </w:tc>
        <w:tc>
          <w:tcPr>
            <w:tcW w:w="1620" w:type="dxa"/>
            <w:tcMar>
              <w:top w:w="57" w:type="dxa"/>
              <w:left w:w="113" w:type="dxa"/>
              <w:bottom w:w="57" w:type="dxa"/>
            </w:tcMar>
            <w:vAlign w:val="center"/>
          </w:tcPr>
          <w:p w14:paraId="09DE307E" w14:textId="37076FFD" w:rsidR="31CBF06D" w:rsidRDefault="31CBF06D" w:rsidP="06E2C765">
            <w:pPr>
              <w:spacing w:line="240" w:lineRule="auto"/>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(H) Enviar Resolución</w:t>
            </w:r>
          </w:p>
        </w:tc>
        <w:tc>
          <w:tcPr>
            <w:tcW w:w="2032" w:type="dxa"/>
            <w:tcMar>
              <w:top w:w="57" w:type="dxa"/>
              <w:left w:w="113" w:type="dxa"/>
              <w:bottom w:w="57" w:type="dxa"/>
            </w:tcMar>
            <w:vAlign w:val="center"/>
          </w:tcPr>
          <w:p w14:paraId="07C94183" w14:textId="50651E66" w:rsidR="31CBF06D" w:rsidRDefault="31CBF06D"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Coordinador del Grupo Administrativa</w:t>
            </w:r>
          </w:p>
        </w:tc>
        <w:tc>
          <w:tcPr>
            <w:tcW w:w="4970" w:type="dxa"/>
            <w:tcMar>
              <w:top w:w="57" w:type="dxa"/>
              <w:left w:w="113" w:type="dxa"/>
              <w:bottom w:w="57" w:type="dxa"/>
            </w:tcMar>
            <w:vAlign w:val="center"/>
          </w:tcPr>
          <w:p w14:paraId="12789E06" w14:textId="32E80763" w:rsidR="31CBF06D" w:rsidRDefault="31CBF06D" w:rsidP="06E2C765">
            <w:pPr>
              <w:spacing w:line="240" w:lineRule="auto"/>
              <w:jc w:val="both"/>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Enviar el proyecto de Resolución de transferencia de Bienes Inmuebles a la entidad pública receptora, teniendo en cuenta las descripciones detalladas correspondientes para la transferencia.</w:t>
            </w:r>
            <w:r>
              <w:br/>
            </w:r>
            <w:r>
              <w:br/>
            </w:r>
            <w:r w:rsidRPr="06E2C765">
              <w:rPr>
                <w:rFonts w:ascii="Verdana" w:eastAsia="Times New Roman" w:hAnsi="Verdana" w:cs="Arial"/>
                <w:b/>
                <w:bCs/>
                <w:color w:val="000000" w:themeColor="text1"/>
                <w:sz w:val="16"/>
                <w:szCs w:val="16"/>
                <w:lang w:eastAsia="es-CO"/>
              </w:rPr>
              <w:t>Tiempo:</w:t>
            </w:r>
            <w:r w:rsidRPr="06E2C765">
              <w:rPr>
                <w:rFonts w:ascii="Verdana" w:eastAsia="Times New Roman" w:hAnsi="Verdana" w:cs="Arial"/>
                <w:color w:val="000000" w:themeColor="text1"/>
                <w:sz w:val="16"/>
                <w:szCs w:val="16"/>
                <w:lang w:eastAsia="es-CO"/>
              </w:rPr>
              <w:t xml:space="preserve"> 1 día.</w:t>
            </w:r>
          </w:p>
        </w:tc>
        <w:tc>
          <w:tcPr>
            <w:tcW w:w="1581" w:type="dxa"/>
            <w:tcMar>
              <w:top w:w="57" w:type="dxa"/>
              <w:left w:w="113" w:type="dxa"/>
              <w:bottom w:w="57" w:type="dxa"/>
            </w:tcMar>
            <w:vAlign w:val="center"/>
          </w:tcPr>
          <w:p w14:paraId="7119C350" w14:textId="72B83EA9" w:rsidR="31CBF06D" w:rsidRDefault="31CBF06D"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Proyecto de Resolución y memorando interno</w:t>
            </w:r>
          </w:p>
        </w:tc>
      </w:tr>
      <w:tr w:rsidR="06E2C765" w14:paraId="446D811B" w14:textId="77777777" w:rsidTr="3E48EDB1">
        <w:trPr>
          <w:trHeight w:val="545"/>
        </w:trPr>
        <w:tc>
          <w:tcPr>
            <w:tcW w:w="565" w:type="dxa"/>
            <w:tcMar>
              <w:top w:w="57" w:type="dxa"/>
              <w:left w:w="113" w:type="dxa"/>
              <w:bottom w:w="57" w:type="dxa"/>
            </w:tcMar>
            <w:vAlign w:val="center"/>
          </w:tcPr>
          <w:p w14:paraId="5B89BFDD" w14:textId="468BCF7C" w:rsidR="6EF345A9" w:rsidRDefault="6EF345A9" w:rsidP="06E2C765">
            <w:pPr>
              <w:spacing w:line="240" w:lineRule="auto"/>
              <w:jc w:val="center"/>
              <w:rPr>
                <w:rFonts w:ascii="Verdana" w:hAnsi="Verdana" w:cs="Arial"/>
                <w:b/>
                <w:bCs/>
                <w:sz w:val="16"/>
                <w:szCs w:val="16"/>
              </w:rPr>
            </w:pPr>
            <w:r w:rsidRPr="06E2C765">
              <w:rPr>
                <w:rFonts w:ascii="Verdana" w:hAnsi="Verdana" w:cs="Arial"/>
                <w:b/>
                <w:bCs/>
                <w:sz w:val="16"/>
                <w:szCs w:val="16"/>
              </w:rPr>
              <w:t>13</w:t>
            </w:r>
          </w:p>
        </w:tc>
        <w:tc>
          <w:tcPr>
            <w:tcW w:w="1620" w:type="dxa"/>
            <w:tcMar>
              <w:top w:w="57" w:type="dxa"/>
              <w:left w:w="113" w:type="dxa"/>
              <w:bottom w:w="57" w:type="dxa"/>
            </w:tcMar>
            <w:vAlign w:val="center"/>
          </w:tcPr>
          <w:p w14:paraId="284F8D9B" w14:textId="6DCCB805" w:rsidR="0C435D8F" w:rsidRDefault="0C435D8F" w:rsidP="06E2C765">
            <w:pPr>
              <w:spacing w:line="240" w:lineRule="auto"/>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(V) Revisar Resolución</w:t>
            </w:r>
          </w:p>
        </w:tc>
        <w:tc>
          <w:tcPr>
            <w:tcW w:w="2032" w:type="dxa"/>
            <w:tcMar>
              <w:top w:w="57" w:type="dxa"/>
              <w:left w:w="113" w:type="dxa"/>
              <w:bottom w:w="57" w:type="dxa"/>
            </w:tcMar>
            <w:vAlign w:val="center"/>
          </w:tcPr>
          <w:p w14:paraId="7B181BD6" w14:textId="4731E626" w:rsidR="0C435D8F" w:rsidRDefault="0C435D8F"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Jefe Oficina Asesora Jurídica</w:t>
            </w:r>
          </w:p>
        </w:tc>
        <w:tc>
          <w:tcPr>
            <w:tcW w:w="4970" w:type="dxa"/>
            <w:tcMar>
              <w:top w:w="57" w:type="dxa"/>
              <w:left w:w="113" w:type="dxa"/>
              <w:bottom w:w="57" w:type="dxa"/>
            </w:tcMar>
            <w:vAlign w:val="center"/>
          </w:tcPr>
          <w:p w14:paraId="4E26DC14" w14:textId="46C16493" w:rsidR="0C435D8F" w:rsidRDefault="0C435D8F" w:rsidP="06E2C765">
            <w:pPr>
              <w:spacing w:line="240" w:lineRule="auto"/>
              <w:jc w:val="both"/>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Efectuar revisión del proyecto de Resolución con el fin de determinar si este se encuentra ajustado a derecho, y si es procedente el acto jurídico a plasmar en el mismo.</w:t>
            </w:r>
            <w:r>
              <w:br/>
            </w:r>
            <w:r>
              <w:br/>
            </w:r>
            <w:r w:rsidRPr="06E2C765">
              <w:rPr>
                <w:rFonts w:ascii="Verdana" w:eastAsia="Times New Roman" w:hAnsi="Verdana" w:cs="Arial"/>
                <w:color w:val="000000" w:themeColor="text1"/>
                <w:sz w:val="16"/>
                <w:szCs w:val="16"/>
                <w:lang w:eastAsia="es-CO"/>
              </w:rPr>
              <w:t>En caso de requerir ajuste el proyecto de resolución se notifica al Grupo Administrativa para su ajuste correspondiente.</w:t>
            </w:r>
            <w:r>
              <w:br/>
            </w:r>
            <w:r>
              <w:br/>
            </w:r>
            <w:r w:rsidRPr="06E2C765">
              <w:rPr>
                <w:rFonts w:ascii="Verdana" w:eastAsia="Times New Roman" w:hAnsi="Verdana" w:cs="Arial"/>
                <w:b/>
                <w:bCs/>
                <w:color w:val="000000" w:themeColor="text1"/>
                <w:sz w:val="16"/>
                <w:szCs w:val="16"/>
                <w:lang w:eastAsia="es-CO"/>
              </w:rPr>
              <w:t>Tiempo:</w:t>
            </w:r>
            <w:r w:rsidRPr="06E2C765">
              <w:rPr>
                <w:rFonts w:ascii="Verdana" w:eastAsia="Times New Roman" w:hAnsi="Verdana" w:cs="Arial"/>
                <w:color w:val="000000" w:themeColor="text1"/>
                <w:sz w:val="16"/>
                <w:szCs w:val="16"/>
                <w:lang w:eastAsia="es-CO"/>
              </w:rPr>
              <w:t xml:space="preserve"> 5 días hábiles.</w:t>
            </w:r>
          </w:p>
        </w:tc>
        <w:tc>
          <w:tcPr>
            <w:tcW w:w="1581" w:type="dxa"/>
            <w:tcMar>
              <w:top w:w="57" w:type="dxa"/>
              <w:left w:w="113" w:type="dxa"/>
              <w:bottom w:w="57" w:type="dxa"/>
            </w:tcMar>
            <w:vAlign w:val="center"/>
          </w:tcPr>
          <w:p w14:paraId="321790CE" w14:textId="5586AD97" w:rsidR="0C435D8F" w:rsidRDefault="0C435D8F" w:rsidP="06E2C765">
            <w:pPr>
              <w:spacing w:line="240" w:lineRule="auto"/>
              <w:jc w:val="center"/>
              <w:rPr>
                <w:rFonts w:ascii="Verdana" w:eastAsia="Times New Roman" w:hAnsi="Verdana" w:cs="Arial"/>
                <w:color w:val="000000" w:themeColor="text1"/>
                <w:sz w:val="16"/>
                <w:szCs w:val="16"/>
                <w:lang w:eastAsia="es-CO"/>
              </w:rPr>
            </w:pPr>
            <w:r w:rsidRPr="5593BE21">
              <w:rPr>
                <w:rFonts w:ascii="Verdana" w:eastAsia="Times New Roman" w:hAnsi="Verdana" w:cs="Arial"/>
                <w:color w:val="000000" w:themeColor="text1"/>
                <w:sz w:val="16"/>
                <w:szCs w:val="16"/>
                <w:lang w:eastAsia="es-CO"/>
              </w:rPr>
              <w:t>Memorando de respuesta sobre la revisión con destino al Grupo Administrativa</w:t>
            </w:r>
          </w:p>
        </w:tc>
      </w:tr>
      <w:tr w:rsidR="06E2C765" w14:paraId="1DF11EFB" w14:textId="77777777" w:rsidTr="3E48EDB1">
        <w:trPr>
          <w:trHeight w:val="545"/>
        </w:trPr>
        <w:tc>
          <w:tcPr>
            <w:tcW w:w="565" w:type="dxa"/>
            <w:tcMar>
              <w:top w:w="57" w:type="dxa"/>
              <w:left w:w="113" w:type="dxa"/>
              <w:bottom w:w="57" w:type="dxa"/>
            </w:tcMar>
            <w:vAlign w:val="center"/>
          </w:tcPr>
          <w:p w14:paraId="78511E91" w14:textId="7E21ACEC" w:rsidR="6EF345A9" w:rsidRDefault="6EF345A9" w:rsidP="06E2C765">
            <w:pPr>
              <w:spacing w:line="240" w:lineRule="auto"/>
              <w:jc w:val="center"/>
              <w:rPr>
                <w:rFonts w:ascii="Verdana" w:hAnsi="Verdana" w:cs="Arial"/>
                <w:b/>
                <w:bCs/>
                <w:sz w:val="16"/>
                <w:szCs w:val="16"/>
              </w:rPr>
            </w:pPr>
            <w:r w:rsidRPr="06E2C765">
              <w:rPr>
                <w:rFonts w:ascii="Verdana" w:hAnsi="Verdana" w:cs="Arial"/>
                <w:b/>
                <w:bCs/>
                <w:sz w:val="16"/>
                <w:szCs w:val="16"/>
              </w:rPr>
              <w:t>14</w:t>
            </w:r>
          </w:p>
        </w:tc>
        <w:tc>
          <w:tcPr>
            <w:tcW w:w="1620" w:type="dxa"/>
            <w:tcMar>
              <w:top w:w="57" w:type="dxa"/>
              <w:left w:w="113" w:type="dxa"/>
              <w:bottom w:w="57" w:type="dxa"/>
            </w:tcMar>
            <w:vAlign w:val="center"/>
          </w:tcPr>
          <w:p w14:paraId="2AD18810" w14:textId="01D83FEE" w:rsidR="7F5D576B" w:rsidRDefault="7F5D576B" w:rsidP="06E2C765">
            <w:pPr>
              <w:spacing w:line="240" w:lineRule="auto"/>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(V) Aprobar Resolución</w:t>
            </w:r>
          </w:p>
        </w:tc>
        <w:tc>
          <w:tcPr>
            <w:tcW w:w="2032" w:type="dxa"/>
            <w:tcMar>
              <w:top w:w="57" w:type="dxa"/>
              <w:left w:w="113" w:type="dxa"/>
              <w:bottom w:w="57" w:type="dxa"/>
            </w:tcMar>
            <w:vAlign w:val="center"/>
          </w:tcPr>
          <w:p w14:paraId="6D2D7C4B" w14:textId="65710EC0" w:rsidR="7F5D576B" w:rsidRDefault="7F5D576B"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Jefe Oficina Asesora Jurídica</w:t>
            </w:r>
          </w:p>
        </w:tc>
        <w:tc>
          <w:tcPr>
            <w:tcW w:w="4970" w:type="dxa"/>
            <w:tcMar>
              <w:top w:w="57" w:type="dxa"/>
              <w:left w:w="113" w:type="dxa"/>
              <w:bottom w:w="57" w:type="dxa"/>
            </w:tcMar>
            <w:vAlign w:val="center"/>
          </w:tcPr>
          <w:p w14:paraId="0230CFEC" w14:textId="102F4284" w:rsidR="7F5D576B" w:rsidRDefault="7F5D576B" w:rsidP="06E2C765">
            <w:pPr>
              <w:spacing w:line="240" w:lineRule="auto"/>
              <w:jc w:val="both"/>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Efectuar la aprobación y visto bueno del proyecto de Resolución.</w:t>
            </w:r>
            <w:r>
              <w:br/>
            </w:r>
            <w:r>
              <w:br/>
            </w:r>
            <w:r w:rsidRPr="06E2C765">
              <w:rPr>
                <w:rFonts w:ascii="Verdana" w:eastAsia="Times New Roman" w:hAnsi="Verdana" w:cs="Arial"/>
                <w:b/>
                <w:bCs/>
                <w:color w:val="000000" w:themeColor="text1"/>
                <w:sz w:val="16"/>
                <w:szCs w:val="16"/>
                <w:lang w:eastAsia="es-CO"/>
              </w:rPr>
              <w:t xml:space="preserve">Tiempo: </w:t>
            </w:r>
            <w:r w:rsidRPr="06E2C765">
              <w:rPr>
                <w:rFonts w:ascii="Verdana" w:eastAsia="Times New Roman" w:hAnsi="Verdana" w:cs="Arial"/>
                <w:color w:val="000000" w:themeColor="text1"/>
                <w:sz w:val="16"/>
                <w:szCs w:val="16"/>
                <w:lang w:eastAsia="es-CO"/>
              </w:rPr>
              <w:t>1 día.</w:t>
            </w:r>
          </w:p>
        </w:tc>
        <w:tc>
          <w:tcPr>
            <w:tcW w:w="1581" w:type="dxa"/>
            <w:tcMar>
              <w:top w:w="57" w:type="dxa"/>
              <w:left w:w="113" w:type="dxa"/>
              <w:bottom w:w="57" w:type="dxa"/>
            </w:tcMar>
            <w:vAlign w:val="center"/>
          </w:tcPr>
          <w:p w14:paraId="144D6F56" w14:textId="16A344EE" w:rsidR="7F5D576B" w:rsidRDefault="7F5D576B"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Memorando de respuesta sobre la aprobación con destino al Grupo Administrativa</w:t>
            </w:r>
          </w:p>
        </w:tc>
      </w:tr>
      <w:tr w:rsidR="06E2C765" w14:paraId="447DB6E1" w14:textId="77777777" w:rsidTr="3E48EDB1">
        <w:trPr>
          <w:trHeight w:val="545"/>
        </w:trPr>
        <w:tc>
          <w:tcPr>
            <w:tcW w:w="565" w:type="dxa"/>
            <w:tcMar>
              <w:top w:w="57" w:type="dxa"/>
              <w:left w:w="113" w:type="dxa"/>
              <w:bottom w:w="57" w:type="dxa"/>
            </w:tcMar>
            <w:vAlign w:val="center"/>
          </w:tcPr>
          <w:p w14:paraId="235CD570" w14:textId="3395BCE8" w:rsidR="6EF345A9" w:rsidRDefault="6EF345A9" w:rsidP="06E2C765">
            <w:pPr>
              <w:spacing w:line="240" w:lineRule="auto"/>
              <w:jc w:val="center"/>
              <w:rPr>
                <w:rFonts w:ascii="Verdana" w:hAnsi="Verdana" w:cs="Arial"/>
                <w:b/>
                <w:bCs/>
                <w:sz w:val="16"/>
                <w:szCs w:val="16"/>
              </w:rPr>
            </w:pPr>
            <w:r w:rsidRPr="06E2C765">
              <w:rPr>
                <w:rFonts w:ascii="Verdana" w:hAnsi="Verdana" w:cs="Arial"/>
                <w:b/>
                <w:bCs/>
                <w:sz w:val="16"/>
                <w:szCs w:val="16"/>
              </w:rPr>
              <w:t>15</w:t>
            </w:r>
          </w:p>
        </w:tc>
        <w:tc>
          <w:tcPr>
            <w:tcW w:w="1620" w:type="dxa"/>
            <w:tcMar>
              <w:top w:w="57" w:type="dxa"/>
              <w:left w:w="113" w:type="dxa"/>
              <w:bottom w:w="57" w:type="dxa"/>
            </w:tcMar>
            <w:vAlign w:val="center"/>
          </w:tcPr>
          <w:p w14:paraId="4FBDA4FF" w14:textId="0978BBD8" w:rsidR="11BA2B0F" w:rsidRDefault="11BA2B0F" w:rsidP="06E2C765">
            <w:pPr>
              <w:spacing w:line="240" w:lineRule="auto"/>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(H) Remitir Resolución</w:t>
            </w:r>
          </w:p>
        </w:tc>
        <w:tc>
          <w:tcPr>
            <w:tcW w:w="2032" w:type="dxa"/>
            <w:tcMar>
              <w:top w:w="57" w:type="dxa"/>
              <w:left w:w="113" w:type="dxa"/>
              <w:bottom w:w="57" w:type="dxa"/>
            </w:tcMar>
            <w:vAlign w:val="center"/>
          </w:tcPr>
          <w:p w14:paraId="5562C782" w14:textId="7933FBD4" w:rsidR="5E7F87EF" w:rsidRDefault="5E7F87EF"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Coordinador del Grupo Administrativa</w:t>
            </w:r>
          </w:p>
        </w:tc>
        <w:tc>
          <w:tcPr>
            <w:tcW w:w="4970" w:type="dxa"/>
            <w:tcMar>
              <w:top w:w="57" w:type="dxa"/>
              <w:left w:w="113" w:type="dxa"/>
              <w:bottom w:w="57" w:type="dxa"/>
            </w:tcMar>
            <w:vAlign w:val="center"/>
          </w:tcPr>
          <w:p w14:paraId="173C9EFB" w14:textId="552CE373" w:rsidR="5E7F87EF" w:rsidRDefault="5E7F87EF" w:rsidP="06E2C765">
            <w:pPr>
              <w:spacing w:line="240" w:lineRule="auto"/>
              <w:jc w:val="both"/>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 xml:space="preserve">Enviar el proyecto de Resolución con destino a la </w:t>
            </w:r>
            <w:bookmarkStart w:id="18" w:name="_Int_oqwnvCf5"/>
            <w:proofErr w:type="gramStart"/>
            <w:r w:rsidRPr="06E2C765">
              <w:rPr>
                <w:rFonts w:ascii="Verdana" w:eastAsia="Times New Roman" w:hAnsi="Verdana" w:cs="Arial"/>
                <w:color w:val="000000" w:themeColor="text1"/>
                <w:sz w:val="16"/>
                <w:szCs w:val="16"/>
                <w:lang w:eastAsia="es-CO"/>
              </w:rPr>
              <w:t>Secretaria General</w:t>
            </w:r>
            <w:bookmarkEnd w:id="18"/>
            <w:proofErr w:type="gramEnd"/>
            <w:r w:rsidRPr="06E2C765">
              <w:rPr>
                <w:rFonts w:ascii="Verdana" w:eastAsia="Times New Roman" w:hAnsi="Verdana" w:cs="Arial"/>
                <w:color w:val="000000" w:themeColor="text1"/>
                <w:sz w:val="16"/>
                <w:szCs w:val="16"/>
                <w:lang w:eastAsia="es-CO"/>
              </w:rPr>
              <w:t xml:space="preserve"> o a quien corresponda.</w:t>
            </w:r>
            <w:r>
              <w:br/>
            </w:r>
            <w:r>
              <w:br/>
            </w:r>
            <w:r w:rsidRPr="06E2C765">
              <w:rPr>
                <w:rFonts w:ascii="Verdana" w:eastAsia="Times New Roman" w:hAnsi="Verdana" w:cs="Arial"/>
                <w:b/>
                <w:bCs/>
                <w:color w:val="000000" w:themeColor="text1"/>
                <w:sz w:val="16"/>
                <w:szCs w:val="16"/>
                <w:lang w:eastAsia="es-CO"/>
              </w:rPr>
              <w:t>Tiempo:</w:t>
            </w:r>
            <w:r w:rsidRPr="06E2C765">
              <w:rPr>
                <w:rFonts w:ascii="Verdana" w:eastAsia="Times New Roman" w:hAnsi="Verdana" w:cs="Arial"/>
                <w:color w:val="000000" w:themeColor="text1"/>
                <w:sz w:val="16"/>
                <w:szCs w:val="16"/>
                <w:lang w:eastAsia="es-CO"/>
              </w:rPr>
              <w:t xml:space="preserve"> 1 día.</w:t>
            </w:r>
          </w:p>
        </w:tc>
        <w:tc>
          <w:tcPr>
            <w:tcW w:w="1581" w:type="dxa"/>
            <w:tcMar>
              <w:top w:w="57" w:type="dxa"/>
              <w:left w:w="113" w:type="dxa"/>
              <w:bottom w:w="57" w:type="dxa"/>
            </w:tcMar>
            <w:vAlign w:val="center"/>
          </w:tcPr>
          <w:p w14:paraId="5931F5D6" w14:textId="3367308E" w:rsidR="5E7F87EF" w:rsidRDefault="5E7F87EF"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Memorando o correo electrónico remisorio</w:t>
            </w:r>
          </w:p>
        </w:tc>
      </w:tr>
      <w:tr w:rsidR="06E2C765" w14:paraId="5F3DEBFB" w14:textId="77777777" w:rsidTr="3E48EDB1">
        <w:trPr>
          <w:trHeight w:val="545"/>
        </w:trPr>
        <w:tc>
          <w:tcPr>
            <w:tcW w:w="565" w:type="dxa"/>
            <w:tcMar>
              <w:top w:w="57" w:type="dxa"/>
              <w:left w:w="113" w:type="dxa"/>
              <w:bottom w:w="57" w:type="dxa"/>
            </w:tcMar>
            <w:vAlign w:val="center"/>
          </w:tcPr>
          <w:p w14:paraId="5BFDAC0E" w14:textId="10048577" w:rsidR="6EF345A9" w:rsidRDefault="6EF345A9" w:rsidP="06E2C765">
            <w:pPr>
              <w:spacing w:line="240" w:lineRule="auto"/>
              <w:jc w:val="center"/>
              <w:rPr>
                <w:rFonts w:ascii="Verdana" w:hAnsi="Verdana" w:cs="Arial"/>
                <w:b/>
                <w:bCs/>
                <w:sz w:val="16"/>
                <w:szCs w:val="16"/>
              </w:rPr>
            </w:pPr>
            <w:r w:rsidRPr="06E2C765">
              <w:rPr>
                <w:rFonts w:ascii="Verdana" w:hAnsi="Verdana" w:cs="Arial"/>
                <w:b/>
                <w:bCs/>
                <w:sz w:val="16"/>
                <w:szCs w:val="16"/>
              </w:rPr>
              <w:t>16</w:t>
            </w:r>
          </w:p>
        </w:tc>
        <w:tc>
          <w:tcPr>
            <w:tcW w:w="1620" w:type="dxa"/>
            <w:tcMar>
              <w:top w:w="57" w:type="dxa"/>
              <w:left w:w="113" w:type="dxa"/>
              <w:bottom w:w="57" w:type="dxa"/>
            </w:tcMar>
            <w:vAlign w:val="center"/>
          </w:tcPr>
          <w:p w14:paraId="6B56A94E" w14:textId="0A156038" w:rsidR="4302415D" w:rsidRDefault="2E56FC19" w:rsidP="06E2C765">
            <w:pPr>
              <w:spacing w:line="240" w:lineRule="auto"/>
              <w:rPr>
                <w:rFonts w:ascii="Verdana" w:eastAsia="Times New Roman" w:hAnsi="Verdana" w:cs="Arial"/>
                <w:color w:val="000000" w:themeColor="text1"/>
                <w:sz w:val="16"/>
                <w:szCs w:val="16"/>
                <w:lang w:eastAsia="es-CO"/>
              </w:rPr>
            </w:pPr>
            <w:r w:rsidRPr="4563F471">
              <w:rPr>
                <w:rFonts w:ascii="Verdana" w:eastAsia="Times New Roman" w:hAnsi="Verdana" w:cs="Arial"/>
                <w:color w:val="000000" w:themeColor="text1"/>
                <w:sz w:val="16"/>
                <w:szCs w:val="16"/>
                <w:lang w:eastAsia="es-CO"/>
              </w:rPr>
              <w:t>(</w:t>
            </w:r>
            <w:r w:rsidR="5AEDD75B" w:rsidRPr="4563F471">
              <w:rPr>
                <w:rFonts w:ascii="Verdana" w:eastAsia="Times New Roman" w:hAnsi="Verdana" w:cs="Arial"/>
                <w:color w:val="000000" w:themeColor="text1"/>
                <w:sz w:val="16"/>
                <w:szCs w:val="16"/>
                <w:lang w:eastAsia="es-CO"/>
              </w:rPr>
              <w:t>A) Suscribir Resolución</w:t>
            </w:r>
          </w:p>
        </w:tc>
        <w:tc>
          <w:tcPr>
            <w:tcW w:w="2032" w:type="dxa"/>
            <w:tcMar>
              <w:top w:w="57" w:type="dxa"/>
              <w:left w:w="113" w:type="dxa"/>
              <w:bottom w:w="57" w:type="dxa"/>
            </w:tcMar>
            <w:vAlign w:val="center"/>
          </w:tcPr>
          <w:p w14:paraId="176A8AAA" w14:textId="25513914" w:rsidR="4302415D" w:rsidRDefault="4302415D"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Asesor Secretaría General</w:t>
            </w:r>
          </w:p>
        </w:tc>
        <w:tc>
          <w:tcPr>
            <w:tcW w:w="4970" w:type="dxa"/>
            <w:tcMar>
              <w:top w:w="57" w:type="dxa"/>
              <w:left w:w="113" w:type="dxa"/>
              <w:bottom w:w="57" w:type="dxa"/>
            </w:tcMar>
            <w:vAlign w:val="center"/>
          </w:tcPr>
          <w:p w14:paraId="24BD7A60" w14:textId="0F56780C" w:rsidR="04FE67D2" w:rsidRDefault="04FE67D2" w:rsidP="06E2C765">
            <w:pPr>
              <w:spacing w:line="240" w:lineRule="auto"/>
              <w:jc w:val="both"/>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 xml:space="preserve">Aprobar la Resolución por parte del </w:t>
            </w:r>
            <w:bookmarkStart w:id="19" w:name="_Int_4PqnoWyw"/>
            <w:proofErr w:type="gramStart"/>
            <w:r w:rsidRPr="06E2C765">
              <w:rPr>
                <w:rFonts w:ascii="Verdana" w:eastAsia="Times New Roman" w:hAnsi="Verdana" w:cs="Arial"/>
                <w:color w:val="000000" w:themeColor="text1"/>
                <w:sz w:val="16"/>
                <w:szCs w:val="16"/>
                <w:lang w:eastAsia="es-CO"/>
              </w:rPr>
              <w:t>Secretario General</w:t>
            </w:r>
            <w:bookmarkEnd w:id="19"/>
            <w:proofErr w:type="gramEnd"/>
            <w:r w:rsidRPr="06E2C765">
              <w:rPr>
                <w:rFonts w:ascii="Verdana" w:eastAsia="Times New Roman" w:hAnsi="Verdana" w:cs="Arial"/>
                <w:color w:val="000000" w:themeColor="text1"/>
                <w:sz w:val="16"/>
                <w:szCs w:val="16"/>
                <w:lang w:eastAsia="es-CO"/>
              </w:rPr>
              <w:t xml:space="preserve"> del MinCIT o a quien corresponda.</w:t>
            </w:r>
            <w:r>
              <w:br/>
            </w:r>
            <w:r>
              <w:br/>
            </w:r>
            <w:r w:rsidRPr="06E2C765">
              <w:rPr>
                <w:rFonts w:ascii="Verdana" w:eastAsia="Times New Roman" w:hAnsi="Verdana" w:cs="Arial"/>
                <w:b/>
                <w:bCs/>
                <w:color w:val="000000" w:themeColor="text1"/>
                <w:sz w:val="16"/>
                <w:szCs w:val="16"/>
                <w:lang w:eastAsia="es-CO"/>
              </w:rPr>
              <w:t>Tiempo:</w:t>
            </w:r>
            <w:r w:rsidRPr="06E2C765">
              <w:rPr>
                <w:rFonts w:ascii="Verdana" w:eastAsia="Times New Roman" w:hAnsi="Verdana" w:cs="Arial"/>
                <w:color w:val="000000" w:themeColor="text1"/>
                <w:sz w:val="16"/>
                <w:szCs w:val="16"/>
                <w:lang w:eastAsia="es-CO"/>
              </w:rPr>
              <w:t xml:space="preserve"> </w:t>
            </w:r>
            <w:r w:rsidR="25DD115A" w:rsidRPr="06E2C765">
              <w:rPr>
                <w:rFonts w:ascii="Verdana" w:eastAsia="Times New Roman" w:hAnsi="Verdana" w:cs="Arial"/>
                <w:color w:val="000000" w:themeColor="text1"/>
                <w:sz w:val="16"/>
                <w:szCs w:val="16"/>
                <w:lang w:eastAsia="es-CO"/>
              </w:rPr>
              <w:t>3</w:t>
            </w:r>
            <w:r w:rsidRPr="06E2C765">
              <w:rPr>
                <w:rFonts w:ascii="Verdana" w:eastAsia="Times New Roman" w:hAnsi="Verdana" w:cs="Arial"/>
                <w:color w:val="000000" w:themeColor="text1"/>
                <w:sz w:val="16"/>
                <w:szCs w:val="16"/>
                <w:lang w:eastAsia="es-CO"/>
              </w:rPr>
              <w:t xml:space="preserve"> día</w:t>
            </w:r>
            <w:r w:rsidR="225ABD8F" w:rsidRPr="06E2C765">
              <w:rPr>
                <w:rFonts w:ascii="Verdana" w:eastAsia="Times New Roman" w:hAnsi="Verdana" w:cs="Arial"/>
                <w:color w:val="000000" w:themeColor="text1"/>
                <w:sz w:val="16"/>
                <w:szCs w:val="16"/>
                <w:lang w:eastAsia="es-CO"/>
              </w:rPr>
              <w:t>s</w:t>
            </w:r>
            <w:r w:rsidRPr="06E2C765">
              <w:rPr>
                <w:rFonts w:ascii="Verdana" w:eastAsia="Times New Roman" w:hAnsi="Verdana" w:cs="Arial"/>
                <w:color w:val="000000" w:themeColor="text1"/>
                <w:sz w:val="16"/>
                <w:szCs w:val="16"/>
                <w:lang w:eastAsia="es-CO"/>
              </w:rPr>
              <w:t>.</w:t>
            </w:r>
          </w:p>
        </w:tc>
        <w:tc>
          <w:tcPr>
            <w:tcW w:w="1581" w:type="dxa"/>
            <w:tcMar>
              <w:top w:w="57" w:type="dxa"/>
              <w:left w:w="113" w:type="dxa"/>
              <w:bottom w:w="57" w:type="dxa"/>
            </w:tcMar>
            <w:vAlign w:val="center"/>
          </w:tcPr>
          <w:p w14:paraId="07EB3EBB" w14:textId="6B03F24D" w:rsidR="04FE67D2" w:rsidRDefault="04FE67D2"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Resolución firmada</w:t>
            </w:r>
          </w:p>
        </w:tc>
      </w:tr>
      <w:tr w:rsidR="06E2C765" w14:paraId="6B053174" w14:textId="77777777" w:rsidTr="3E48EDB1">
        <w:trPr>
          <w:trHeight w:val="545"/>
        </w:trPr>
        <w:tc>
          <w:tcPr>
            <w:tcW w:w="565" w:type="dxa"/>
            <w:tcMar>
              <w:top w:w="57" w:type="dxa"/>
              <w:left w:w="113" w:type="dxa"/>
              <w:bottom w:w="57" w:type="dxa"/>
            </w:tcMar>
            <w:vAlign w:val="center"/>
          </w:tcPr>
          <w:p w14:paraId="68B0D023" w14:textId="43D90F71" w:rsidR="6EF345A9" w:rsidRDefault="6EF345A9" w:rsidP="06E2C765">
            <w:pPr>
              <w:spacing w:line="240" w:lineRule="auto"/>
              <w:jc w:val="center"/>
              <w:rPr>
                <w:rFonts w:ascii="Verdana" w:hAnsi="Verdana" w:cs="Arial"/>
                <w:b/>
                <w:bCs/>
                <w:sz w:val="16"/>
                <w:szCs w:val="16"/>
              </w:rPr>
            </w:pPr>
            <w:r w:rsidRPr="06E2C765">
              <w:rPr>
                <w:rFonts w:ascii="Verdana" w:hAnsi="Verdana" w:cs="Arial"/>
                <w:b/>
                <w:bCs/>
                <w:sz w:val="16"/>
                <w:szCs w:val="16"/>
              </w:rPr>
              <w:t>17</w:t>
            </w:r>
          </w:p>
        </w:tc>
        <w:tc>
          <w:tcPr>
            <w:tcW w:w="1620" w:type="dxa"/>
            <w:tcMar>
              <w:top w:w="57" w:type="dxa"/>
              <w:left w:w="113" w:type="dxa"/>
              <w:bottom w:w="57" w:type="dxa"/>
            </w:tcMar>
            <w:vAlign w:val="center"/>
          </w:tcPr>
          <w:p w14:paraId="22020712" w14:textId="7E80749E" w:rsidR="0E91FF36" w:rsidRDefault="0E91FF36" w:rsidP="06E2C765">
            <w:pPr>
              <w:spacing w:line="240" w:lineRule="auto"/>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(H) Inscribir Resolución</w:t>
            </w:r>
          </w:p>
        </w:tc>
        <w:tc>
          <w:tcPr>
            <w:tcW w:w="2032" w:type="dxa"/>
            <w:tcMar>
              <w:top w:w="57" w:type="dxa"/>
              <w:left w:w="113" w:type="dxa"/>
              <w:bottom w:w="57" w:type="dxa"/>
            </w:tcMar>
            <w:vAlign w:val="center"/>
          </w:tcPr>
          <w:p w14:paraId="0C216FFB" w14:textId="39EA4643" w:rsidR="070C8B9F" w:rsidRDefault="070C8B9F"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Coordinador del Grupo Administrativa</w:t>
            </w:r>
          </w:p>
        </w:tc>
        <w:tc>
          <w:tcPr>
            <w:tcW w:w="4970" w:type="dxa"/>
            <w:tcMar>
              <w:top w:w="57" w:type="dxa"/>
              <w:left w:w="113" w:type="dxa"/>
              <w:bottom w:w="57" w:type="dxa"/>
            </w:tcMar>
            <w:vAlign w:val="center"/>
          </w:tcPr>
          <w:p w14:paraId="1FE64439" w14:textId="67E00517" w:rsidR="070C8B9F" w:rsidRDefault="070C8B9F" w:rsidP="06E2C765">
            <w:pPr>
              <w:spacing w:line="240" w:lineRule="auto"/>
              <w:jc w:val="both"/>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Enviar Resolución mediante comunicación externa a la Oficina de Registro de Instrumentos Públicos correspondiente para su inscripción en el folio de matrícula inmobiliaria del bien inmueble.</w:t>
            </w:r>
            <w:r>
              <w:br/>
            </w:r>
            <w:r>
              <w:br/>
            </w:r>
            <w:r w:rsidRPr="06E2C765">
              <w:rPr>
                <w:rFonts w:ascii="Verdana" w:eastAsia="Times New Roman" w:hAnsi="Verdana" w:cs="Arial"/>
                <w:b/>
                <w:bCs/>
                <w:color w:val="000000" w:themeColor="text1"/>
                <w:sz w:val="16"/>
                <w:szCs w:val="16"/>
                <w:lang w:eastAsia="es-CO"/>
              </w:rPr>
              <w:t>Tiempo:</w:t>
            </w:r>
            <w:r w:rsidRPr="06E2C765">
              <w:rPr>
                <w:rFonts w:ascii="Verdana" w:eastAsia="Times New Roman" w:hAnsi="Verdana" w:cs="Arial"/>
                <w:color w:val="000000" w:themeColor="text1"/>
                <w:sz w:val="16"/>
                <w:szCs w:val="16"/>
                <w:lang w:eastAsia="es-CO"/>
              </w:rPr>
              <w:t xml:space="preserve"> 1</w:t>
            </w:r>
            <w:r w:rsidR="602A5E03" w:rsidRPr="06E2C765">
              <w:rPr>
                <w:rFonts w:ascii="Verdana" w:eastAsia="Times New Roman" w:hAnsi="Verdana" w:cs="Arial"/>
                <w:color w:val="000000" w:themeColor="text1"/>
                <w:sz w:val="16"/>
                <w:szCs w:val="16"/>
                <w:lang w:eastAsia="es-CO"/>
              </w:rPr>
              <w:t>0</w:t>
            </w:r>
            <w:r w:rsidRPr="06E2C765">
              <w:rPr>
                <w:rFonts w:ascii="Verdana" w:eastAsia="Times New Roman" w:hAnsi="Verdana" w:cs="Arial"/>
                <w:color w:val="000000" w:themeColor="text1"/>
                <w:sz w:val="16"/>
                <w:szCs w:val="16"/>
                <w:lang w:eastAsia="es-CO"/>
              </w:rPr>
              <w:t xml:space="preserve"> día</w:t>
            </w:r>
            <w:r w:rsidR="78DAE2DC" w:rsidRPr="06E2C765">
              <w:rPr>
                <w:rFonts w:ascii="Verdana" w:eastAsia="Times New Roman" w:hAnsi="Verdana" w:cs="Arial"/>
                <w:color w:val="000000" w:themeColor="text1"/>
                <w:sz w:val="16"/>
                <w:szCs w:val="16"/>
                <w:lang w:eastAsia="es-CO"/>
              </w:rPr>
              <w:t xml:space="preserve">s </w:t>
            </w:r>
            <w:r w:rsidR="24E473D8" w:rsidRPr="06E2C765">
              <w:rPr>
                <w:rFonts w:ascii="Verdana" w:eastAsia="Times New Roman" w:hAnsi="Verdana" w:cs="Arial"/>
                <w:color w:val="000000" w:themeColor="text1"/>
                <w:sz w:val="16"/>
                <w:szCs w:val="16"/>
                <w:lang w:eastAsia="es-CO"/>
              </w:rPr>
              <w:t>hábiles</w:t>
            </w:r>
            <w:r w:rsidRPr="06E2C765">
              <w:rPr>
                <w:rFonts w:ascii="Verdana" w:eastAsia="Times New Roman" w:hAnsi="Verdana" w:cs="Arial"/>
                <w:color w:val="000000" w:themeColor="text1"/>
                <w:sz w:val="16"/>
                <w:szCs w:val="16"/>
                <w:lang w:eastAsia="es-CO"/>
              </w:rPr>
              <w:t>.</w:t>
            </w:r>
          </w:p>
        </w:tc>
        <w:tc>
          <w:tcPr>
            <w:tcW w:w="1581" w:type="dxa"/>
            <w:tcMar>
              <w:top w:w="57" w:type="dxa"/>
              <w:left w:w="113" w:type="dxa"/>
              <w:bottom w:w="57" w:type="dxa"/>
            </w:tcMar>
            <w:vAlign w:val="center"/>
          </w:tcPr>
          <w:p w14:paraId="13B4DC95" w14:textId="4EC14944" w:rsidR="070C8B9F" w:rsidRDefault="070C8B9F"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Comunicación externa a la Oficina de Registro de Instrumentos Públicos</w:t>
            </w:r>
          </w:p>
        </w:tc>
      </w:tr>
      <w:tr w:rsidR="06E2C765" w14:paraId="49BBE407" w14:textId="77777777" w:rsidTr="3E48EDB1">
        <w:trPr>
          <w:trHeight w:val="545"/>
        </w:trPr>
        <w:tc>
          <w:tcPr>
            <w:tcW w:w="565" w:type="dxa"/>
            <w:tcMar>
              <w:top w:w="57" w:type="dxa"/>
              <w:left w:w="113" w:type="dxa"/>
              <w:bottom w:w="57" w:type="dxa"/>
            </w:tcMar>
            <w:vAlign w:val="center"/>
          </w:tcPr>
          <w:p w14:paraId="5E64DAA9" w14:textId="3F0163CA" w:rsidR="6EF345A9" w:rsidRDefault="6EF345A9" w:rsidP="06E2C765">
            <w:pPr>
              <w:spacing w:line="240" w:lineRule="auto"/>
              <w:jc w:val="center"/>
              <w:rPr>
                <w:rFonts w:ascii="Verdana" w:hAnsi="Verdana" w:cs="Arial"/>
                <w:b/>
                <w:bCs/>
                <w:sz w:val="16"/>
                <w:szCs w:val="16"/>
              </w:rPr>
            </w:pPr>
            <w:r w:rsidRPr="06E2C765">
              <w:rPr>
                <w:rFonts w:ascii="Verdana" w:hAnsi="Verdana" w:cs="Arial"/>
                <w:b/>
                <w:bCs/>
                <w:sz w:val="16"/>
                <w:szCs w:val="16"/>
              </w:rPr>
              <w:t>18</w:t>
            </w:r>
          </w:p>
        </w:tc>
        <w:tc>
          <w:tcPr>
            <w:tcW w:w="1620" w:type="dxa"/>
            <w:tcMar>
              <w:top w:w="57" w:type="dxa"/>
              <w:left w:w="113" w:type="dxa"/>
              <w:bottom w:w="57" w:type="dxa"/>
            </w:tcMar>
            <w:vAlign w:val="center"/>
          </w:tcPr>
          <w:p w14:paraId="30D6B4CE" w14:textId="401BCE43" w:rsidR="2DAFBDFA" w:rsidRDefault="63AFE63B" w:rsidP="06E2C765">
            <w:pPr>
              <w:spacing w:line="240" w:lineRule="auto"/>
              <w:rPr>
                <w:rFonts w:ascii="Verdana" w:eastAsia="Times New Roman" w:hAnsi="Verdana" w:cs="Arial"/>
                <w:color w:val="000000" w:themeColor="text1"/>
                <w:sz w:val="16"/>
                <w:szCs w:val="16"/>
                <w:lang w:eastAsia="es-CO"/>
              </w:rPr>
            </w:pPr>
            <w:r w:rsidRPr="4563F471">
              <w:rPr>
                <w:rFonts w:ascii="Verdana" w:eastAsia="Times New Roman" w:hAnsi="Verdana" w:cs="Arial"/>
                <w:color w:val="000000" w:themeColor="text1"/>
                <w:sz w:val="16"/>
                <w:szCs w:val="16"/>
                <w:lang w:eastAsia="es-CO"/>
              </w:rPr>
              <w:t>(H) Informar a la entidad receptora sobre la realización de la transferencia</w:t>
            </w:r>
          </w:p>
        </w:tc>
        <w:tc>
          <w:tcPr>
            <w:tcW w:w="2032" w:type="dxa"/>
            <w:tcMar>
              <w:top w:w="57" w:type="dxa"/>
              <w:left w:w="113" w:type="dxa"/>
              <w:bottom w:w="57" w:type="dxa"/>
            </w:tcMar>
            <w:vAlign w:val="center"/>
          </w:tcPr>
          <w:p w14:paraId="74FF0B1D" w14:textId="624983B3" w:rsidR="2DAFBDFA" w:rsidRDefault="2DAFBDFA"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Coordinador del Grupo Administrativa</w:t>
            </w:r>
          </w:p>
        </w:tc>
        <w:tc>
          <w:tcPr>
            <w:tcW w:w="4970" w:type="dxa"/>
            <w:tcMar>
              <w:top w:w="57" w:type="dxa"/>
              <w:left w:w="113" w:type="dxa"/>
              <w:bottom w:w="57" w:type="dxa"/>
            </w:tcMar>
            <w:vAlign w:val="center"/>
          </w:tcPr>
          <w:p w14:paraId="31CDB76A" w14:textId="751EA1A7" w:rsidR="2DAFBDFA" w:rsidRDefault="2DAFBDFA" w:rsidP="06E2C765">
            <w:pPr>
              <w:spacing w:line="240" w:lineRule="auto"/>
              <w:jc w:val="both"/>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Comunicar a la entidad pública receptora, la culminación del proceso de transferencia del bien inmueble.</w:t>
            </w:r>
            <w:r>
              <w:br/>
            </w:r>
            <w:r>
              <w:br/>
            </w:r>
            <w:r w:rsidRPr="06E2C765">
              <w:rPr>
                <w:rFonts w:ascii="Verdana" w:eastAsia="Times New Roman" w:hAnsi="Verdana" w:cs="Arial"/>
                <w:b/>
                <w:bCs/>
                <w:color w:val="000000" w:themeColor="text1"/>
                <w:sz w:val="16"/>
                <w:szCs w:val="16"/>
                <w:lang w:eastAsia="es-CO"/>
              </w:rPr>
              <w:t>Tiempo:</w:t>
            </w:r>
            <w:r w:rsidRPr="06E2C765">
              <w:rPr>
                <w:rFonts w:ascii="Verdana" w:eastAsia="Times New Roman" w:hAnsi="Verdana" w:cs="Arial"/>
                <w:color w:val="000000" w:themeColor="text1"/>
                <w:sz w:val="16"/>
                <w:szCs w:val="16"/>
                <w:lang w:eastAsia="es-CO"/>
              </w:rPr>
              <w:t xml:space="preserve"> </w:t>
            </w:r>
            <w:r w:rsidR="1886FEBC" w:rsidRPr="06E2C765">
              <w:rPr>
                <w:rFonts w:ascii="Verdana" w:eastAsia="Times New Roman" w:hAnsi="Verdana" w:cs="Arial"/>
                <w:color w:val="000000" w:themeColor="text1"/>
                <w:sz w:val="16"/>
                <w:szCs w:val="16"/>
                <w:lang w:eastAsia="es-CO"/>
              </w:rPr>
              <w:t>2</w:t>
            </w:r>
            <w:r w:rsidRPr="06E2C765">
              <w:rPr>
                <w:rFonts w:ascii="Verdana" w:eastAsia="Times New Roman" w:hAnsi="Verdana" w:cs="Arial"/>
                <w:color w:val="000000" w:themeColor="text1"/>
                <w:sz w:val="16"/>
                <w:szCs w:val="16"/>
                <w:lang w:eastAsia="es-CO"/>
              </w:rPr>
              <w:t xml:space="preserve"> día</w:t>
            </w:r>
            <w:r w:rsidR="07382673" w:rsidRPr="06E2C765">
              <w:rPr>
                <w:rFonts w:ascii="Verdana" w:eastAsia="Times New Roman" w:hAnsi="Verdana" w:cs="Arial"/>
                <w:color w:val="000000" w:themeColor="text1"/>
                <w:sz w:val="16"/>
                <w:szCs w:val="16"/>
                <w:lang w:eastAsia="es-CO"/>
              </w:rPr>
              <w:t>s</w:t>
            </w:r>
            <w:r w:rsidRPr="06E2C765">
              <w:rPr>
                <w:rFonts w:ascii="Verdana" w:eastAsia="Times New Roman" w:hAnsi="Verdana" w:cs="Arial"/>
                <w:color w:val="000000" w:themeColor="text1"/>
                <w:sz w:val="16"/>
                <w:szCs w:val="16"/>
                <w:lang w:eastAsia="es-CO"/>
              </w:rPr>
              <w:t>.</w:t>
            </w:r>
          </w:p>
          <w:p w14:paraId="514DD2BD" w14:textId="06049C3F" w:rsidR="06E2C765" w:rsidRDefault="06E2C765" w:rsidP="06E2C765">
            <w:pPr>
              <w:spacing w:line="240" w:lineRule="auto"/>
              <w:jc w:val="both"/>
              <w:rPr>
                <w:rFonts w:ascii="Verdana" w:eastAsia="Times New Roman" w:hAnsi="Verdana" w:cs="Arial"/>
                <w:color w:val="000000" w:themeColor="text1"/>
                <w:sz w:val="16"/>
                <w:szCs w:val="16"/>
                <w:lang w:eastAsia="es-CO"/>
              </w:rPr>
            </w:pPr>
          </w:p>
        </w:tc>
        <w:tc>
          <w:tcPr>
            <w:tcW w:w="1581" w:type="dxa"/>
            <w:tcMar>
              <w:top w:w="57" w:type="dxa"/>
              <w:left w:w="113" w:type="dxa"/>
              <w:bottom w:w="57" w:type="dxa"/>
            </w:tcMar>
            <w:vAlign w:val="center"/>
          </w:tcPr>
          <w:p w14:paraId="4A322490" w14:textId="2469B3E6" w:rsidR="2DAFBDFA" w:rsidRDefault="2DAFBDFA" w:rsidP="06E2C765">
            <w:pPr>
              <w:spacing w:line="240" w:lineRule="auto"/>
              <w:jc w:val="center"/>
              <w:rPr>
                <w:rFonts w:ascii="Verdana" w:eastAsia="Times New Roman" w:hAnsi="Verdana" w:cs="Arial"/>
                <w:color w:val="000000" w:themeColor="text1"/>
                <w:sz w:val="16"/>
                <w:szCs w:val="16"/>
                <w:lang w:eastAsia="es-CO"/>
              </w:rPr>
            </w:pPr>
            <w:r w:rsidRPr="06E2C765">
              <w:rPr>
                <w:rFonts w:ascii="Verdana" w:eastAsia="Times New Roman" w:hAnsi="Verdana" w:cs="Arial"/>
                <w:color w:val="000000" w:themeColor="text1"/>
                <w:sz w:val="16"/>
                <w:szCs w:val="16"/>
                <w:lang w:eastAsia="es-CO"/>
              </w:rPr>
              <w:t>Comunicación.</w:t>
            </w:r>
          </w:p>
        </w:tc>
      </w:tr>
    </w:tbl>
    <w:p w14:paraId="59C0B9FE" w14:textId="4F60B10D" w:rsidR="546A49A2" w:rsidRDefault="546A49A2" w:rsidP="06E2C765">
      <w:pPr>
        <w:spacing w:after="0" w:line="240" w:lineRule="auto"/>
      </w:pPr>
    </w:p>
    <w:p w14:paraId="644FFE78" w14:textId="77777777" w:rsidR="00554B5D" w:rsidRDefault="00554B5D" w:rsidP="06E2C765">
      <w:pPr>
        <w:spacing w:after="0" w:line="240" w:lineRule="auto"/>
      </w:pPr>
    </w:p>
    <w:p w14:paraId="61A1452D" w14:textId="77777777" w:rsidR="00554B5D" w:rsidRDefault="00554B5D" w:rsidP="06E2C765">
      <w:pPr>
        <w:spacing w:after="0" w:line="240" w:lineRule="auto"/>
      </w:pPr>
    </w:p>
    <w:p w14:paraId="10013DB2" w14:textId="77777777" w:rsidR="00554B5D" w:rsidRDefault="00554B5D" w:rsidP="06E2C765">
      <w:pPr>
        <w:spacing w:after="0" w:line="240" w:lineRule="auto"/>
      </w:pPr>
    </w:p>
    <w:p w14:paraId="4DA2A7C4" w14:textId="5C80B0AC" w:rsidR="3E48EDB1" w:rsidRDefault="3E48EDB1" w:rsidP="3E48EDB1">
      <w:pPr>
        <w:spacing w:after="0" w:line="240" w:lineRule="auto"/>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3E48EDB1">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FA1F06" w:rsidRPr="00666AB9" w14:paraId="54AA9CC1" w14:textId="77777777" w:rsidTr="3E48EDB1">
        <w:trPr>
          <w:trHeight w:val="300"/>
        </w:trPr>
        <w:tc>
          <w:tcPr>
            <w:tcW w:w="960" w:type="dxa"/>
            <w:tcMar>
              <w:top w:w="30" w:type="dxa"/>
              <w:left w:w="30" w:type="dxa"/>
              <w:bottom w:w="30" w:type="dxa"/>
              <w:right w:w="30" w:type="dxa"/>
            </w:tcMar>
            <w:vAlign w:val="center"/>
          </w:tcPr>
          <w:p w14:paraId="6AD8F697" w14:textId="7727D6E6" w:rsidR="00FA1F06" w:rsidRPr="00FA1F06" w:rsidRDefault="00FA1F06" w:rsidP="00FA1F06">
            <w:pPr>
              <w:spacing w:after="0" w:line="240" w:lineRule="auto"/>
              <w:jc w:val="center"/>
              <w:rPr>
                <w:rFonts w:ascii="Verdana" w:eastAsia="Arial" w:hAnsi="Verdana" w:cs="Arial"/>
                <w:sz w:val="16"/>
                <w:szCs w:val="16"/>
              </w:rPr>
            </w:pPr>
            <w:r w:rsidRPr="00FA1F06">
              <w:rPr>
                <w:rFonts w:ascii="Verdana" w:hAnsi="Verdana" w:cs="Arial"/>
                <w:sz w:val="16"/>
                <w:szCs w:val="16"/>
              </w:rPr>
              <w:t>1</w:t>
            </w:r>
          </w:p>
        </w:tc>
        <w:tc>
          <w:tcPr>
            <w:tcW w:w="2715" w:type="dxa"/>
            <w:tcMar>
              <w:top w:w="30" w:type="dxa"/>
              <w:left w:w="30" w:type="dxa"/>
              <w:bottom w:w="30" w:type="dxa"/>
              <w:right w:w="30" w:type="dxa"/>
            </w:tcMar>
            <w:vAlign w:val="center"/>
          </w:tcPr>
          <w:p w14:paraId="03FEEE01" w14:textId="027EA272" w:rsidR="00FA1F06" w:rsidRPr="00FA1F06" w:rsidRDefault="13A3BDF8" w:rsidP="06E2C765">
            <w:pPr>
              <w:spacing w:after="0" w:line="240" w:lineRule="auto"/>
              <w:jc w:val="center"/>
            </w:pPr>
            <w:r w:rsidRPr="06E2C765">
              <w:rPr>
                <w:rFonts w:ascii="Verdana" w:hAnsi="Verdana" w:cs="Arial"/>
                <w:sz w:val="16"/>
                <w:szCs w:val="16"/>
              </w:rPr>
              <w:t>No aplica</w:t>
            </w:r>
          </w:p>
        </w:tc>
        <w:tc>
          <w:tcPr>
            <w:tcW w:w="7075" w:type="dxa"/>
            <w:tcMar>
              <w:top w:w="30" w:type="dxa"/>
              <w:left w:w="30" w:type="dxa"/>
              <w:bottom w:w="30" w:type="dxa"/>
              <w:right w:w="30" w:type="dxa"/>
            </w:tcMar>
            <w:vAlign w:val="center"/>
          </w:tcPr>
          <w:p w14:paraId="52815E36" w14:textId="62E93D37" w:rsidR="00FA1F06" w:rsidRPr="00FA1F06" w:rsidRDefault="13A3BDF8" w:rsidP="00FA1F06">
            <w:pPr>
              <w:spacing w:after="0" w:line="240" w:lineRule="auto"/>
              <w:rPr>
                <w:rFonts w:ascii="Verdana" w:eastAsia="Arial" w:hAnsi="Verdana" w:cs="Arial"/>
                <w:sz w:val="16"/>
                <w:szCs w:val="16"/>
              </w:rPr>
            </w:pPr>
            <w:r w:rsidRPr="06E2C765">
              <w:rPr>
                <w:rFonts w:ascii="Verdana" w:hAnsi="Verdana" w:cs="Arial"/>
                <w:sz w:val="16"/>
                <w:szCs w:val="16"/>
              </w:rPr>
              <w:t xml:space="preserve">Formato de verificación de requisitos  </w:t>
            </w:r>
          </w:p>
        </w:tc>
      </w:tr>
      <w:tr w:rsidR="00530DBA" w:rsidRPr="00666AB9" w14:paraId="2DD53572" w14:textId="77777777" w:rsidTr="3E48EDB1">
        <w:trPr>
          <w:trHeight w:val="300"/>
        </w:trPr>
        <w:tc>
          <w:tcPr>
            <w:tcW w:w="960" w:type="dxa"/>
            <w:tcMar>
              <w:top w:w="30" w:type="dxa"/>
              <w:left w:w="30" w:type="dxa"/>
              <w:bottom w:w="30" w:type="dxa"/>
              <w:right w:w="30" w:type="dxa"/>
            </w:tcMar>
            <w:vAlign w:val="center"/>
          </w:tcPr>
          <w:p w14:paraId="204A2273" w14:textId="6DC3EB0E" w:rsidR="00530DBA" w:rsidRPr="00FA1F06" w:rsidRDefault="33722673" w:rsidP="06E2C765">
            <w:pPr>
              <w:spacing w:after="0" w:line="240" w:lineRule="auto"/>
              <w:jc w:val="center"/>
              <w:rPr>
                <w:rFonts w:ascii="Verdana" w:hAnsi="Verdana" w:cs="Arial"/>
                <w:sz w:val="16"/>
                <w:szCs w:val="16"/>
              </w:rPr>
            </w:pPr>
            <w:r w:rsidRPr="06E2C765">
              <w:rPr>
                <w:rFonts w:ascii="Verdana" w:hAnsi="Verdana" w:cs="Arial"/>
                <w:sz w:val="16"/>
                <w:szCs w:val="16"/>
              </w:rPr>
              <w:t>2</w:t>
            </w:r>
          </w:p>
        </w:tc>
        <w:tc>
          <w:tcPr>
            <w:tcW w:w="2715" w:type="dxa"/>
            <w:tcMar>
              <w:top w:w="30" w:type="dxa"/>
              <w:left w:w="30" w:type="dxa"/>
              <w:bottom w:w="30" w:type="dxa"/>
              <w:right w:w="30" w:type="dxa"/>
            </w:tcMar>
            <w:vAlign w:val="center"/>
          </w:tcPr>
          <w:p w14:paraId="571851CB" w14:textId="1641463D" w:rsidR="00530DBA" w:rsidRPr="00FA1F06" w:rsidRDefault="20DBC93E" w:rsidP="06E2C765">
            <w:pPr>
              <w:spacing w:after="0" w:line="240" w:lineRule="auto"/>
              <w:jc w:val="center"/>
              <w:rPr>
                <w:rFonts w:ascii="Verdana" w:hAnsi="Verdana" w:cs="Arial"/>
                <w:sz w:val="16"/>
                <w:szCs w:val="16"/>
              </w:rPr>
            </w:pPr>
            <w:r w:rsidRPr="4563F471">
              <w:rPr>
                <w:rFonts w:ascii="Verdana" w:hAnsi="Verdana" w:cs="Arial"/>
                <w:sz w:val="16"/>
                <w:szCs w:val="16"/>
              </w:rPr>
              <w:t>No aplica</w:t>
            </w:r>
          </w:p>
        </w:tc>
        <w:tc>
          <w:tcPr>
            <w:tcW w:w="7075" w:type="dxa"/>
            <w:tcMar>
              <w:top w:w="30" w:type="dxa"/>
              <w:left w:w="30" w:type="dxa"/>
              <w:bottom w:w="30" w:type="dxa"/>
              <w:right w:w="30" w:type="dxa"/>
            </w:tcMar>
            <w:vAlign w:val="center"/>
          </w:tcPr>
          <w:p w14:paraId="5B06C58A" w14:textId="2D0BFBE9" w:rsidR="00530DBA" w:rsidRPr="00FA1F06" w:rsidRDefault="00530DBA" w:rsidP="00530DBA">
            <w:pPr>
              <w:spacing w:after="0" w:line="240" w:lineRule="auto"/>
              <w:rPr>
                <w:rFonts w:ascii="Verdana" w:eastAsia="Arial" w:hAnsi="Verdana" w:cs="Arial"/>
                <w:sz w:val="16"/>
                <w:szCs w:val="16"/>
              </w:rPr>
            </w:pPr>
            <w:hyperlink r:id="rId12" w:history="1">
              <w:r w:rsidRPr="00FA1F06">
                <w:rPr>
                  <w:rStyle w:val="Hyperlink"/>
                  <w:rFonts w:ascii="Verdana" w:hAnsi="Verdana" w:cs="Arial"/>
                  <w:color w:val="auto"/>
                  <w:sz w:val="16"/>
                  <w:szCs w:val="16"/>
                  <w:u w:val="none"/>
                </w:rPr>
                <w:t>Resolución</w:t>
              </w:r>
            </w:hyperlink>
          </w:p>
        </w:tc>
      </w:tr>
      <w:tr w:rsidR="00530DBA" w:rsidRPr="00666AB9" w14:paraId="70A06364" w14:textId="77777777" w:rsidTr="3E48EDB1">
        <w:trPr>
          <w:trHeight w:val="300"/>
        </w:trPr>
        <w:tc>
          <w:tcPr>
            <w:tcW w:w="960" w:type="dxa"/>
            <w:tcMar>
              <w:top w:w="30" w:type="dxa"/>
              <w:left w:w="30" w:type="dxa"/>
              <w:bottom w:w="30" w:type="dxa"/>
              <w:right w:w="30" w:type="dxa"/>
            </w:tcMar>
            <w:vAlign w:val="center"/>
          </w:tcPr>
          <w:p w14:paraId="54EC7AAF" w14:textId="7BE8F485" w:rsidR="00530DBA" w:rsidRPr="00FA1F06" w:rsidRDefault="33722673" w:rsidP="06E2C765">
            <w:pPr>
              <w:spacing w:after="0" w:line="240" w:lineRule="auto"/>
              <w:jc w:val="center"/>
              <w:rPr>
                <w:rFonts w:ascii="Verdana" w:hAnsi="Verdana" w:cs="Arial"/>
                <w:sz w:val="16"/>
                <w:szCs w:val="16"/>
              </w:rPr>
            </w:pPr>
            <w:r w:rsidRPr="06E2C765">
              <w:rPr>
                <w:rFonts w:ascii="Verdana" w:hAnsi="Verdana" w:cs="Arial"/>
                <w:sz w:val="16"/>
                <w:szCs w:val="16"/>
              </w:rPr>
              <w:t>3</w:t>
            </w:r>
          </w:p>
        </w:tc>
        <w:tc>
          <w:tcPr>
            <w:tcW w:w="2715" w:type="dxa"/>
            <w:tcMar>
              <w:top w:w="30" w:type="dxa"/>
              <w:left w:w="30" w:type="dxa"/>
              <w:bottom w:w="30" w:type="dxa"/>
              <w:right w:w="30" w:type="dxa"/>
            </w:tcMar>
            <w:vAlign w:val="center"/>
          </w:tcPr>
          <w:p w14:paraId="0F2B7B25" w14:textId="27B6493A" w:rsidR="00530DBA" w:rsidRPr="00FA1F06" w:rsidRDefault="5C1F1B94" w:rsidP="06E2C765">
            <w:pPr>
              <w:spacing w:after="0" w:line="240" w:lineRule="auto"/>
              <w:jc w:val="center"/>
              <w:rPr>
                <w:rFonts w:ascii="Verdana" w:hAnsi="Verdana" w:cs="Arial"/>
                <w:sz w:val="16"/>
                <w:szCs w:val="16"/>
              </w:rPr>
            </w:pPr>
            <w:r w:rsidRPr="3E48EDB1">
              <w:rPr>
                <w:rFonts w:ascii="Verdana" w:hAnsi="Verdana" w:cs="Arial"/>
                <w:sz w:val="16"/>
                <w:szCs w:val="16"/>
              </w:rPr>
              <w:t>G</w:t>
            </w:r>
            <w:r w:rsidR="79A594B1" w:rsidRPr="3E48EDB1">
              <w:rPr>
                <w:rFonts w:ascii="Verdana" w:hAnsi="Verdana" w:cs="Arial"/>
                <w:sz w:val="16"/>
                <w:szCs w:val="16"/>
              </w:rPr>
              <w:t>D-F</w:t>
            </w:r>
            <w:r w:rsidR="404CB5FB" w:rsidRPr="3E48EDB1">
              <w:rPr>
                <w:rFonts w:ascii="Verdana" w:hAnsi="Verdana" w:cs="Arial"/>
                <w:sz w:val="16"/>
                <w:szCs w:val="16"/>
              </w:rPr>
              <w:t>M</w:t>
            </w:r>
            <w:r w:rsidR="79A594B1" w:rsidRPr="3E48EDB1">
              <w:rPr>
                <w:rFonts w:ascii="Verdana" w:hAnsi="Verdana" w:cs="Arial"/>
                <w:sz w:val="16"/>
                <w:szCs w:val="16"/>
              </w:rPr>
              <w:t>-0</w:t>
            </w:r>
            <w:r w:rsidR="2206EBDD" w:rsidRPr="3E48EDB1">
              <w:rPr>
                <w:rFonts w:ascii="Verdana" w:hAnsi="Verdana" w:cs="Arial"/>
                <w:sz w:val="16"/>
                <w:szCs w:val="16"/>
              </w:rPr>
              <w:t>0</w:t>
            </w:r>
            <w:r w:rsidR="79A594B1" w:rsidRPr="3E48EDB1">
              <w:rPr>
                <w:rFonts w:ascii="Verdana" w:hAnsi="Verdana" w:cs="Arial"/>
                <w:sz w:val="16"/>
                <w:szCs w:val="16"/>
              </w:rPr>
              <w:t>1</w:t>
            </w:r>
          </w:p>
        </w:tc>
        <w:tc>
          <w:tcPr>
            <w:tcW w:w="7075" w:type="dxa"/>
            <w:tcMar>
              <w:top w:w="30" w:type="dxa"/>
              <w:left w:w="30" w:type="dxa"/>
              <w:bottom w:w="30" w:type="dxa"/>
              <w:right w:w="30" w:type="dxa"/>
            </w:tcMar>
            <w:vAlign w:val="center"/>
          </w:tcPr>
          <w:p w14:paraId="121FFFAE" w14:textId="3717D15E" w:rsidR="00530DBA" w:rsidRPr="00FA1F06" w:rsidRDefault="3607AFEF" w:rsidP="06E2C765">
            <w:pPr>
              <w:spacing w:after="0" w:line="240" w:lineRule="auto"/>
            </w:pPr>
            <w:r w:rsidRPr="06E2C765">
              <w:rPr>
                <w:rFonts w:ascii="Verdana" w:hAnsi="Verdana" w:cs="Arial"/>
                <w:sz w:val="16"/>
                <w:szCs w:val="16"/>
              </w:rPr>
              <w:t>Acta</w:t>
            </w:r>
          </w:p>
        </w:tc>
      </w:tr>
    </w:tbl>
    <w:p w14:paraId="41597FCB" w14:textId="7CDF6A78" w:rsidR="00E7710B" w:rsidRPr="009B0AFB" w:rsidRDefault="00E7710B" w:rsidP="172D2D76">
      <w:pPr>
        <w:spacing w:after="0" w:line="240" w:lineRule="auto"/>
        <w:rPr>
          <w:rFonts w:ascii="Verdana" w:hAnsi="Verdana"/>
          <w:sz w:val="16"/>
          <w:szCs w:val="16"/>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3E48EDB1">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3E48EDB1">
        <w:trPr>
          <w:trHeight w:val="300"/>
        </w:trPr>
        <w:tc>
          <w:tcPr>
            <w:tcW w:w="1418" w:type="dxa"/>
            <w:tcMar>
              <w:top w:w="57" w:type="dxa"/>
              <w:left w:w="113" w:type="dxa"/>
              <w:bottom w:w="57" w:type="dxa"/>
            </w:tcMar>
            <w:vAlign w:val="center"/>
          </w:tcPr>
          <w:p w14:paraId="02647CAE" w14:textId="1BB53209" w:rsidR="00EA0826" w:rsidRPr="00666AB9" w:rsidRDefault="20056CCF" w:rsidP="003033FD">
            <w:pPr>
              <w:spacing w:after="0" w:line="240" w:lineRule="auto"/>
              <w:jc w:val="center"/>
              <w:rPr>
                <w:rFonts w:ascii="Verdana" w:hAnsi="Verdana" w:cs="Arial"/>
                <w:sz w:val="16"/>
                <w:szCs w:val="16"/>
              </w:rPr>
            </w:pPr>
            <w:r w:rsidRPr="3E48EDB1">
              <w:rPr>
                <w:rFonts w:ascii="Verdana" w:hAnsi="Verdana" w:cs="Arial"/>
                <w:sz w:val="16"/>
                <w:szCs w:val="16"/>
              </w:rPr>
              <w:t>12</w:t>
            </w:r>
            <w:r w:rsidR="0048E14E" w:rsidRPr="3E48EDB1">
              <w:rPr>
                <w:rFonts w:ascii="Verdana" w:hAnsi="Verdana" w:cs="Arial"/>
                <w:sz w:val="16"/>
                <w:szCs w:val="16"/>
              </w:rPr>
              <w:t>/</w:t>
            </w:r>
            <w:r w:rsidR="66F4B28C" w:rsidRPr="3E48EDB1">
              <w:rPr>
                <w:rFonts w:ascii="Verdana" w:hAnsi="Verdana" w:cs="Arial"/>
                <w:sz w:val="16"/>
                <w:szCs w:val="16"/>
              </w:rPr>
              <w:t>06</w:t>
            </w:r>
            <w:r w:rsidR="0048E14E" w:rsidRPr="3E48EDB1">
              <w:rPr>
                <w:rFonts w:ascii="Verdana" w:hAnsi="Verdana" w:cs="Arial"/>
                <w:sz w:val="16"/>
                <w:szCs w:val="16"/>
              </w:rPr>
              <w:t>/</w:t>
            </w:r>
            <w:r w:rsidR="77369777" w:rsidRPr="3E48EDB1">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59125A7" w14:textId="7F5B7C35" w:rsidR="00EA0826" w:rsidRPr="00666AB9" w:rsidRDefault="665F6CAE" w:rsidP="3E48EDB1">
            <w:pPr>
              <w:spacing w:after="0" w:line="240" w:lineRule="auto"/>
              <w:jc w:val="both"/>
              <w:rPr>
                <w:rFonts w:ascii="Verdana" w:hAnsi="Verdana" w:cs="Arial"/>
                <w:sz w:val="16"/>
                <w:szCs w:val="16"/>
              </w:rPr>
            </w:pPr>
            <w:r w:rsidRPr="3E48EDB1">
              <w:rPr>
                <w:rFonts w:ascii="Verdana" w:hAnsi="Verdana" w:cs="Arial"/>
                <w:sz w:val="16"/>
                <w:szCs w:val="16"/>
              </w:rPr>
              <w:t xml:space="preserve">Primera versión del documento para el nuevo Mapa de procesos. </w:t>
            </w:r>
          </w:p>
          <w:p w14:paraId="0C0336F1" w14:textId="21155E4A" w:rsidR="00EA0826" w:rsidRPr="00666AB9" w:rsidRDefault="665F6CAE" w:rsidP="30FD5825">
            <w:pPr>
              <w:spacing w:after="0" w:line="240" w:lineRule="auto"/>
              <w:jc w:val="both"/>
              <w:rPr>
                <w:rFonts w:ascii="Verdana" w:hAnsi="Verdana" w:cs="Arial"/>
                <w:sz w:val="16"/>
                <w:szCs w:val="16"/>
              </w:rPr>
            </w:pPr>
            <w:r w:rsidRPr="3E48EDB1">
              <w:rPr>
                <w:rFonts w:ascii="Verdana" w:hAnsi="Verdana" w:cs="Arial"/>
                <w:sz w:val="16"/>
                <w:szCs w:val="16"/>
              </w:rPr>
              <w:t>Código anterior: G</w:t>
            </w:r>
            <w:r w:rsidR="57707C79" w:rsidRPr="3E48EDB1">
              <w:rPr>
                <w:rFonts w:ascii="Verdana" w:hAnsi="Verdana" w:cs="Arial"/>
                <w:sz w:val="16"/>
                <w:szCs w:val="16"/>
              </w:rPr>
              <w:t>R</w:t>
            </w:r>
            <w:r w:rsidRPr="3E48EDB1">
              <w:rPr>
                <w:rFonts w:ascii="Verdana" w:hAnsi="Verdana" w:cs="Arial"/>
                <w:sz w:val="16"/>
                <w:szCs w:val="16"/>
              </w:rPr>
              <w:t>-PR-01</w:t>
            </w:r>
            <w:r w:rsidR="5A4D6467" w:rsidRPr="3E48EDB1">
              <w:rPr>
                <w:rFonts w:ascii="Verdana" w:hAnsi="Verdana" w:cs="Arial"/>
                <w:sz w:val="16"/>
                <w:szCs w:val="16"/>
              </w:rPr>
              <w:t>5</w:t>
            </w:r>
            <w:r w:rsidR="5704243A" w:rsidRPr="3E48EDB1">
              <w:rPr>
                <w:rFonts w:ascii="Verdana" w:hAnsi="Verdana" w:cs="Arial"/>
                <w:sz w:val="16"/>
                <w:szCs w:val="16"/>
              </w:rPr>
              <w:t>.V10.</w:t>
            </w:r>
          </w:p>
          <w:p w14:paraId="15A11424" w14:textId="09A0C13E" w:rsidR="00EA0826" w:rsidRPr="00666AB9" w:rsidRDefault="7D614AA4" w:rsidP="5593BE21">
            <w:pPr>
              <w:spacing w:after="0" w:line="240" w:lineRule="auto"/>
              <w:jc w:val="both"/>
              <w:rPr>
                <w:rFonts w:ascii="Verdana" w:hAnsi="Verdana" w:cs="Arial"/>
                <w:sz w:val="16"/>
                <w:szCs w:val="16"/>
              </w:rPr>
            </w:pPr>
            <w:r w:rsidRPr="5593BE21">
              <w:rPr>
                <w:rFonts w:ascii="Verdana" w:hAnsi="Verdana" w:cs="Arial"/>
                <w:sz w:val="16"/>
                <w:szCs w:val="16"/>
              </w:rPr>
              <w:t>Se actualizan los tiempos en las actividades</w:t>
            </w:r>
            <w:r w:rsidR="2131C924" w:rsidRPr="5593BE21">
              <w:rPr>
                <w:rFonts w:ascii="Verdana" w:hAnsi="Verdana" w:cs="Arial"/>
                <w:sz w:val="16"/>
                <w:szCs w:val="16"/>
              </w:rPr>
              <w:t>.</w:t>
            </w:r>
          </w:p>
          <w:p w14:paraId="4CF8C849" w14:textId="24E121AA" w:rsidR="00EA0826" w:rsidRPr="00666AB9" w:rsidRDefault="2131C924" w:rsidP="003033FD">
            <w:pPr>
              <w:spacing w:after="0" w:line="240" w:lineRule="auto"/>
              <w:jc w:val="both"/>
              <w:rPr>
                <w:rFonts w:ascii="Verdana" w:hAnsi="Verdana" w:cs="Arial"/>
                <w:sz w:val="16"/>
                <w:szCs w:val="16"/>
              </w:rPr>
            </w:pPr>
            <w:r w:rsidRPr="5593BE21">
              <w:rPr>
                <w:rFonts w:ascii="Verdana" w:hAnsi="Verdana" w:cs="Arial"/>
                <w:sz w:val="16"/>
                <w:szCs w:val="16"/>
              </w:rPr>
              <w:t xml:space="preserve">Se cambian los tiempos en las actividades de las actividades 16,17,18. </w:t>
            </w: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57F652E6" w:rsidR="172D2D76" w:rsidRPr="00666AB9" w:rsidRDefault="00E14479" w:rsidP="009A0A14">
            <w:pPr>
              <w:rPr>
                <w:rFonts w:ascii="Verdana" w:hAnsi="Verdana"/>
                <w:sz w:val="16"/>
                <w:szCs w:val="16"/>
              </w:rPr>
            </w:pPr>
            <w:r w:rsidRPr="00E14479">
              <w:rPr>
                <w:rFonts w:ascii="Verdana" w:hAnsi="Verdana"/>
                <w:sz w:val="16"/>
                <w:szCs w:val="16"/>
              </w:rPr>
              <w:t xml:space="preserve">Giovanni Alcides Monguí </w:t>
            </w:r>
            <w:r>
              <w:rPr>
                <w:rFonts w:ascii="Verdana" w:hAnsi="Verdana"/>
                <w:sz w:val="16"/>
                <w:szCs w:val="16"/>
              </w:rPr>
              <w:t>M</w:t>
            </w:r>
            <w:r w:rsidRPr="00E14479">
              <w:rPr>
                <w:rFonts w:ascii="Verdana" w:hAnsi="Verdana"/>
                <w:sz w:val="16"/>
                <w:szCs w:val="16"/>
              </w:rPr>
              <w:t>erchán</w:t>
            </w: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24E5ACBD" w:rsidR="172D2D76" w:rsidRPr="00666AB9" w:rsidRDefault="008E6E06" w:rsidP="009A0A14">
            <w:pPr>
              <w:rPr>
                <w:rFonts w:ascii="Verdana" w:hAnsi="Verdana"/>
                <w:sz w:val="16"/>
                <w:szCs w:val="16"/>
              </w:rPr>
            </w:pPr>
            <w:r>
              <w:rPr>
                <w:rFonts w:ascii="Verdana" w:hAnsi="Verdana"/>
                <w:sz w:val="16"/>
                <w:szCs w:val="16"/>
              </w:rPr>
              <w:t>Jefferson López</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1FC9D653" w:rsidR="172D2D76" w:rsidRPr="00666AB9" w:rsidRDefault="00C23922" w:rsidP="009A0A14">
            <w:pPr>
              <w:rPr>
                <w:rFonts w:ascii="Verdana" w:hAnsi="Verdana"/>
                <w:sz w:val="16"/>
                <w:szCs w:val="16"/>
              </w:rPr>
            </w:pPr>
            <w:r>
              <w:rPr>
                <w:rFonts w:ascii="Verdana" w:hAnsi="Verdana"/>
                <w:sz w:val="16"/>
                <w:szCs w:val="16"/>
              </w:rPr>
              <w:t>Yeison Rolando Valderrama</w:t>
            </w: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2EC07474" w:rsidR="172D2D76" w:rsidRPr="00666AB9" w:rsidRDefault="00422A7A" w:rsidP="009A0A14">
            <w:pPr>
              <w:rPr>
                <w:rFonts w:ascii="Verdana" w:hAnsi="Verdana"/>
                <w:sz w:val="16"/>
                <w:szCs w:val="16"/>
              </w:rPr>
            </w:pPr>
            <w:r>
              <w:rPr>
                <w:rFonts w:ascii="Verdana" w:hAnsi="Verdana"/>
                <w:sz w:val="16"/>
                <w:szCs w:val="16"/>
              </w:rPr>
              <w:t>Yeison Rolando Valderrama</w:t>
            </w: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2BBB5E0C" w:rsidR="172D2D76" w:rsidRPr="00666AB9" w:rsidRDefault="009B0AFB" w:rsidP="009A0A14">
            <w:pPr>
              <w:rPr>
                <w:rFonts w:ascii="Verdana" w:hAnsi="Verdana"/>
                <w:sz w:val="16"/>
                <w:szCs w:val="16"/>
              </w:rPr>
            </w:pPr>
            <w:r>
              <w:rPr>
                <w:rFonts w:ascii="Verdana" w:hAnsi="Verdana"/>
                <w:sz w:val="16"/>
                <w:szCs w:val="16"/>
              </w:rPr>
              <w:t>Contratista</w:t>
            </w: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0BBCC57A" w:rsidR="172D2D76" w:rsidRPr="00666AB9" w:rsidRDefault="008E6E06"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75B6C1FD" w:rsidR="172D2D76" w:rsidRPr="00666AB9" w:rsidRDefault="00422A7A" w:rsidP="009A0A14">
            <w:pPr>
              <w:rPr>
                <w:rFonts w:ascii="Verdana" w:hAnsi="Verdana"/>
                <w:sz w:val="16"/>
                <w:szCs w:val="16"/>
              </w:rPr>
            </w:pPr>
            <w:r>
              <w:rPr>
                <w:rFonts w:ascii="Verdana" w:hAnsi="Verdana"/>
                <w:sz w:val="16"/>
                <w:szCs w:val="16"/>
              </w:rPr>
              <w:t>Coordinador Grupo Administrativa</w:t>
            </w: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11BEE51" w:rsidR="172D2D76" w:rsidRPr="00666AB9" w:rsidRDefault="00422A7A" w:rsidP="009A0A14">
            <w:pPr>
              <w:rPr>
                <w:rFonts w:ascii="Verdana" w:hAnsi="Verdana"/>
                <w:sz w:val="16"/>
                <w:szCs w:val="16"/>
              </w:rPr>
            </w:pPr>
            <w:r>
              <w:rPr>
                <w:rFonts w:ascii="Verdana" w:hAnsi="Verdana"/>
                <w:sz w:val="16"/>
                <w:szCs w:val="16"/>
              </w:rPr>
              <w:t>Coordinador Grupo Administrativa</w:t>
            </w: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E69F" w14:textId="77777777" w:rsidR="00CD3799" w:rsidRDefault="00CD3799" w:rsidP="00FF09A0">
      <w:pPr>
        <w:spacing w:after="0" w:line="240" w:lineRule="auto"/>
      </w:pPr>
      <w:r>
        <w:separator/>
      </w:r>
    </w:p>
  </w:endnote>
  <w:endnote w:type="continuationSeparator" w:id="0">
    <w:p w14:paraId="1FC0C9C2" w14:textId="77777777" w:rsidR="00CD3799" w:rsidRDefault="00CD3799"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7CAC" w14:textId="77777777" w:rsidR="00CD3799" w:rsidRDefault="00CD3799" w:rsidP="00FF09A0">
      <w:pPr>
        <w:spacing w:after="0" w:line="240" w:lineRule="auto"/>
      </w:pPr>
      <w:r>
        <w:separator/>
      </w:r>
    </w:p>
  </w:footnote>
  <w:footnote w:type="continuationSeparator" w:id="0">
    <w:p w14:paraId="654E0333" w14:textId="77777777" w:rsidR="00CD3799" w:rsidRDefault="00CD3799"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3E48EDB1">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499E504F">
                <wp:simplePos x="0" y="0"/>
                <wp:positionH relativeFrom="column">
                  <wp:posOffset>17145</wp:posOffset>
                </wp:positionH>
                <wp:positionV relativeFrom="paragraph">
                  <wp:posOffset>27940</wp:posOffset>
                </wp:positionV>
                <wp:extent cx="906780" cy="486410"/>
                <wp:effectExtent l="0" t="0" r="7620" b="889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06780" cy="48641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3F8C74D2" w:rsidR="618C038B" w:rsidRPr="005334BA" w:rsidRDefault="3E48EDB1" w:rsidP="00666AB9">
          <w:pPr>
            <w:spacing w:after="0"/>
            <w:jc w:val="center"/>
            <w:rPr>
              <w:rFonts w:ascii="Verdana" w:hAnsi="Verdana"/>
              <w:b/>
              <w:bCs/>
            </w:rPr>
          </w:pPr>
          <w:r w:rsidRPr="3E48EDB1">
            <w:rPr>
              <w:rFonts w:ascii="Verdana" w:eastAsia="Arial" w:hAnsi="Verdana" w:cs="Arial"/>
              <w:b/>
              <w:bCs/>
              <w:color w:val="000000" w:themeColor="text1"/>
              <w:sz w:val="18"/>
              <w:szCs w:val="18"/>
            </w:rPr>
            <w:t>Proceso: Gestión de Recursos</w:t>
          </w:r>
        </w:p>
      </w:tc>
    </w:tr>
    <w:tr w:rsidR="618C038B" w:rsidRPr="00666AB9" w14:paraId="2E987635" w14:textId="77777777" w:rsidTr="3E48EDB1">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71F6ED5E" w:rsidR="4F8B75BB" w:rsidRPr="00666AB9" w:rsidRDefault="00A33C49" w:rsidP="618C038B">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TRANSFERENCIAS DE BIENES INMUEBLES</w:t>
          </w:r>
        </w:p>
      </w:tc>
    </w:tr>
    <w:tr w:rsidR="00666AB9" w:rsidRPr="00666AB9" w14:paraId="3D9C8ACF" w14:textId="77777777" w:rsidTr="3E48EDB1">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52AE7222" w:rsidR="618C038B" w:rsidRPr="00666AB9" w:rsidRDefault="4563F471" w:rsidP="7CEF94DF">
          <w:pPr>
            <w:spacing w:after="0"/>
            <w:rPr>
              <w:rFonts w:ascii="Verdana" w:eastAsia="Arial" w:hAnsi="Verdana" w:cs="Arial"/>
              <w:color w:val="000000" w:themeColor="text1"/>
              <w:sz w:val="14"/>
              <w:szCs w:val="14"/>
            </w:rPr>
          </w:pPr>
          <w:r w:rsidRPr="4563F471">
            <w:rPr>
              <w:rFonts w:ascii="Verdana" w:eastAsia="Arial" w:hAnsi="Verdana" w:cs="Arial"/>
              <w:color w:val="000000" w:themeColor="text1"/>
              <w:sz w:val="14"/>
              <w:szCs w:val="14"/>
            </w:rPr>
            <w:t xml:space="preserve">GR-PR-006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3691FF4A" w:rsidR="618C038B" w:rsidRPr="00666AB9" w:rsidRDefault="3E48EDB1" w:rsidP="7CEF94DF">
          <w:pPr>
            <w:spacing w:after="0"/>
            <w:rPr>
              <w:rFonts w:ascii="Verdana" w:eastAsia="Arial" w:hAnsi="Verdana" w:cs="Arial"/>
              <w:color w:val="000000" w:themeColor="text1"/>
              <w:sz w:val="14"/>
              <w:szCs w:val="14"/>
            </w:rPr>
          </w:pPr>
          <w:r w:rsidRPr="3E48EDB1">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24D052B0" w:rsidR="618C038B" w:rsidRPr="00666AB9" w:rsidRDefault="3E48EDB1" w:rsidP="7CEF94DF">
          <w:pPr>
            <w:spacing w:after="0"/>
            <w:rPr>
              <w:rFonts w:ascii="Verdana" w:eastAsia="Arial" w:hAnsi="Verdana" w:cs="Arial"/>
              <w:color w:val="000000" w:themeColor="text1"/>
              <w:sz w:val="14"/>
              <w:szCs w:val="14"/>
            </w:rPr>
          </w:pPr>
          <w:r w:rsidRPr="3E48EDB1">
            <w:rPr>
              <w:rFonts w:ascii="Verdana" w:eastAsia="Arial" w:hAnsi="Verdana" w:cs="Arial"/>
              <w:color w:val="000000" w:themeColor="text1"/>
              <w:sz w:val="14"/>
              <w:szCs w:val="14"/>
            </w:rPr>
            <w:t>12/06/2026</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bookmark int2:bookmarkName="_Int_cocE6afl" int2:invalidationBookmarkName="" int2:hashCode="VkoheJg/C04Uer" int2:id="E5v1eu7t">
      <int2:state int2:value="Rejected" int2:type="gram"/>
    </int2:bookmark>
    <int2:bookmark int2:bookmarkName="_Int_4PqnoWyw" int2:invalidationBookmarkName="" int2:hashCode="VkoheJg/C04Uer" int2:id="13UUWmI2">
      <int2:state int2:value="Rejected" int2:type="gram"/>
    </int2:bookmark>
    <int2:bookmark int2:bookmarkName="_Int_oqwnvCf5" int2:invalidationBookmarkName="" int2:hashCode="leUPpJMDEeozwk" int2:id="ZXi8KzC9">
      <int2:state int2:value="Rejected" int2:type="gram"/>
    </int2:bookmark>
    <int2:bookmark int2:bookmarkName="_Int_tzL4iGFu" int2:invalidationBookmarkName="" int2:hashCode="leUPpJMDEeozwk" int2:id="lysvCBk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AF2B4B"/>
    <w:multiLevelType w:val="hybridMultilevel"/>
    <w:tmpl w:val="29F61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3"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EB07E48"/>
    <w:multiLevelType w:val="hybridMultilevel"/>
    <w:tmpl w:val="A8C03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8"/>
  </w:num>
  <w:num w:numId="2" w16cid:durableId="471102456">
    <w:abstractNumId w:val="9"/>
  </w:num>
  <w:num w:numId="3" w16cid:durableId="1771659506">
    <w:abstractNumId w:val="4"/>
  </w:num>
  <w:num w:numId="4" w16cid:durableId="1588463160">
    <w:abstractNumId w:val="13"/>
  </w:num>
  <w:num w:numId="5" w16cid:durableId="1682775774">
    <w:abstractNumId w:val="17"/>
  </w:num>
  <w:num w:numId="6" w16cid:durableId="1853760284">
    <w:abstractNumId w:val="7"/>
  </w:num>
  <w:num w:numId="7" w16cid:durableId="1606812334">
    <w:abstractNumId w:val="3"/>
  </w:num>
  <w:num w:numId="8" w16cid:durableId="2131774369">
    <w:abstractNumId w:val="8"/>
  </w:num>
  <w:num w:numId="9" w16cid:durableId="2138378137">
    <w:abstractNumId w:val="14"/>
  </w:num>
  <w:num w:numId="10" w16cid:durableId="263997478">
    <w:abstractNumId w:val="10"/>
  </w:num>
  <w:num w:numId="11" w16cid:durableId="161429240">
    <w:abstractNumId w:val="15"/>
  </w:num>
  <w:num w:numId="12" w16cid:durableId="1911380020">
    <w:abstractNumId w:val="12"/>
  </w:num>
  <w:num w:numId="13" w16cid:durableId="584992562">
    <w:abstractNumId w:val="2"/>
  </w:num>
  <w:num w:numId="14" w16cid:durableId="1514539714">
    <w:abstractNumId w:val="6"/>
  </w:num>
  <w:num w:numId="15" w16cid:durableId="1983000340">
    <w:abstractNumId w:val="11"/>
  </w:num>
  <w:num w:numId="16" w16cid:durableId="1733121262">
    <w:abstractNumId w:val="5"/>
  </w:num>
  <w:num w:numId="17" w16cid:durableId="111945943">
    <w:abstractNumId w:val="0"/>
  </w:num>
  <w:num w:numId="18" w16cid:durableId="1517428403">
    <w:abstractNumId w:val="16"/>
  </w:num>
  <w:num w:numId="19" w16cid:durableId="2035691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734C2"/>
    <w:rsid w:val="00082C2C"/>
    <w:rsid w:val="000A6C04"/>
    <w:rsid w:val="000B4925"/>
    <w:rsid w:val="000B497A"/>
    <w:rsid w:val="000C1E5E"/>
    <w:rsid w:val="000E5FFE"/>
    <w:rsid w:val="001173F7"/>
    <w:rsid w:val="00143548"/>
    <w:rsid w:val="00166A65"/>
    <w:rsid w:val="001A27AC"/>
    <w:rsid w:val="001B1570"/>
    <w:rsid w:val="001C29F2"/>
    <w:rsid w:val="001D7DC5"/>
    <w:rsid w:val="001E46E7"/>
    <w:rsid w:val="001E7211"/>
    <w:rsid w:val="00223AA5"/>
    <w:rsid w:val="00237C40"/>
    <w:rsid w:val="0024300F"/>
    <w:rsid w:val="0024690F"/>
    <w:rsid w:val="00246A88"/>
    <w:rsid w:val="00252F5F"/>
    <w:rsid w:val="002609A3"/>
    <w:rsid w:val="0026414F"/>
    <w:rsid w:val="00271B31"/>
    <w:rsid w:val="00274A63"/>
    <w:rsid w:val="00291CA0"/>
    <w:rsid w:val="002931C7"/>
    <w:rsid w:val="002A0289"/>
    <w:rsid w:val="002A7E18"/>
    <w:rsid w:val="002C3BD4"/>
    <w:rsid w:val="002E6474"/>
    <w:rsid w:val="002F5FEB"/>
    <w:rsid w:val="00300460"/>
    <w:rsid w:val="00300B6F"/>
    <w:rsid w:val="00301C99"/>
    <w:rsid w:val="003033FD"/>
    <w:rsid w:val="00313C84"/>
    <w:rsid w:val="003478CD"/>
    <w:rsid w:val="003545C9"/>
    <w:rsid w:val="003644BD"/>
    <w:rsid w:val="003823B7"/>
    <w:rsid w:val="003B29ED"/>
    <w:rsid w:val="003B7177"/>
    <w:rsid w:val="003B72C5"/>
    <w:rsid w:val="00403988"/>
    <w:rsid w:val="00416D2C"/>
    <w:rsid w:val="00422A7A"/>
    <w:rsid w:val="00447F3B"/>
    <w:rsid w:val="0046554A"/>
    <w:rsid w:val="0048E14E"/>
    <w:rsid w:val="004A3BE9"/>
    <w:rsid w:val="004B7F25"/>
    <w:rsid w:val="005028E6"/>
    <w:rsid w:val="005034CA"/>
    <w:rsid w:val="005036DA"/>
    <w:rsid w:val="00513673"/>
    <w:rsid w:val="00530DBA"/>
    <w:rsid w:val="005334BA"/>
    <w:rsid w:val="00535FDD"/>
    <w:rsid w:val="00547863"/>
    <w:rsid w:val="00554B5D"/>
    <w:rsid w:val="00563936"/>
    <w:rsid w:val="00573D13"/>
    <w:rsid w:val="005832CD"/>
    <w:rsid w:val="00584585"/>
    <w:rsid w:val="00594A4C"/>
    <w:rsid w:val="005961B6"/>
    <w:rsid w:val="005A0CE9"/>
    <w:rsid w:val="005A6B66"/>
    <w:rsid w:val="005B5CEB"/>
    <w:rsid w:val="005B6577"/>
    <w:rsid w:val="005D32A1"/>
    <w:rsid w:val="005D47E4"/>
    <w:rsid w:val="005E25C7"/>
    <w:rsid w:val="005F3247"/>
    <w:rsid w:val="006165B0"/>
    <w:rsid w:val="006169FD"/>
    <w:rsid w:val="0063752B"/>
    <w:rsid w:val="006456A3"/>
    <w:rsid w:val="0066027D"/>
    <w:rsid w:val="00666AB9"/>
    <w:rsid w:val="0067434D"/>
    <w:rsid w:val="006770EF"/>
    <w:rsid w:val="00682369"/>
    <w:rsid w:val="00691185"/>
    <w:rsid w:val="006B1F16"/>
    <w:rsid w:val="006C52F0"/>
    <w:rsid w:val="006D1AB7"/>
    <w:rsid w:val="006E1279"/>
    <w:rsid w:val="006F1179"/>
    <w:rsid w:val="00707E79"/>
    <w:rsid w:val="007124C9"/>
    <w:rsid w:val="00713034"/>
    <w:rsid w:val="0072655E"/>
    <w:rsid w:val="0073353F"/>
    <w:rsid w:val="00735764"/>
    <w:rsid w:val="00747263"/>
    <w:rsid w:val="0075779C"/>
    <w:rsid w:val="007758F6"/>
    <w:rsid w:val="0078315C"/>
    <w:rsid w:val="0078701C"/>
    <w:rsid w:val="0079608A"/>
    <w:rsid w:val="007A668C"/>
    <w:rsid w:val="007B2557"/>
    <w:rsid w:val="007B4048"/>
    <w:rsid w:val="007B4E62"/>
    <w:rsid w:val="007C3D27"/>
    <w:rsid w:val="007C4B85"/>
    <w:rsid w:val="008034D9"/>
    <w:rsid w:val="008130E8"/>
    <w:rsid w:val="00823BA1"/>
    <w:rsid w:val="00836F29"/>
    <w:rsid w:val="00843FF9"/>
    <w:rsid w:val="00844B2D"/>
    <w:rsid w:val="0087001D"/>
    <w:rsid w:val="00874AE0"/>
    <w:rsid w:val="00895E24"/>
    <w:rsid w:val="008974F0"/>
    <w:rsid w:val="008B0C34"/>
    <w:rsid w:val="008D49B5"/>
    <w:rsid w:val="008D75AA"/>
    <w:rsid w:val="008E6D18"/>
    <w:rsid w:val="008E6E06"/>
    <w:rsid w:val="008F0A6E"/>
    <w:rsid w:val="00905588"/>
    <w:rsid w:val="00913E5C"/>
    <w:rsid w:val="00925745"/>
    <w:rsid w:val="00927A03"/>
    <w:rsid w:val="0093090C"/>
    <w:rsid w:val="00940BA8"/>
    <w:rsid w:val="00944BE9"/>
    <w:rsid w:val="009467A5"/>
    <w:rsid w:val="0096466F"/>
    <w:rsid w:val="00966788"/>
    <w:rsid w:val="00970821"/>
    <w:rsid w:val="00971C19"/>
    <w:rsid w:val="00981974"/>
    <w:rsid w:val="009A0A14"/>
    <w:rsid w:val="009A23B3"/>
    <w:rsid w:val="009A384B"/>
    <w:rsid w:val="009B0AFB"/>
    <w:rsid w:val="009B24E8"/>
    <w:rsid w:val="009B364B"/>
    <w:rsid w:val="009C21BB"/>
    <w:rsid w:val="009C3379"/>
    <w:rsid w:val="009C583C"/>
    <w:rsid w:val="009D19DD"/>
    <w:rsid w:val="009D2340"/>
    <w:rsid w:val="009E4885"/>
    <w:rsid w:val="00A202A6"/>
    <w:rsid w:val="00A25235"/>
    <w:rsid w:val="00A32148"/>
    <w:rsid w:val="00A33AC2"/>
    <w:rsid w:val="00A33C49"/>
    <w:rsid w:val="00A770ED"/>
    <w:rsid w:val="00A808A4"/>
    <w:rsid w:val="00AA2563"/>
    <w:rsid w:val="00AD62FA"/>
    <w:rsid w:val="00AF0803"/>
    <w:rsid w:val="00AF3BAE"/>
    <w:rsid w:val="00AF45F9"/>
    <w:rsid w:val="00AF7C2A"/>
    <w:rsid w:val="00B07EC5"/>
    <w:rsid w:val="00B1375A"/>
    <w:rsid w:val="00B2097D"/>
    <w:rsid w:val="00B37A7C"/>
    <w:rsid w:val="00B415D9"/>
    <w:rsid w:val="00B679FA"/>
    <w:rsid w:val="00B76652"/>
    <w:rsid w:val="00B80A17"/>
    <w:rsid w:val="00B838E7"/>
    <w:rsid w:val="00BA58FB"/>
    <w:rsid w:val="00BB4EAC"/>
    <w:rsid w:val="00BD5E29"/>
    <w:rsid w:val="00C23922"/>
    <w:rsid w:val="00C61515"/>
    <w:rsid w:val="00C71896"/>
    <w:rsid w:val="00C823B2"/>
    <w:rsid w:val="00C952ED"/>
    <w:rsid w:val="00CA776F"/>
    <w:rsid w:val="00CD3799"/>
    <w:rsid w:val="00D00793"/>
    <w:rsid w:val="00D03429"/>
    <w:rsid w:val="00D034AB"/>
    <w:rsid w:val="00D102FF"/>
    <w:rsid w:val="00D24FF1"/>
    <w:rsid w:val="00D27F6A"/>
    <w:rsid w:val="00D30510"/>
    <w:rsid w:val="00D4353B"/>
    <w:rsid w:val="00D61113"/>
    <w:rsid w:val="00D8671B"/>
    <w:rsid w:val="00DA19DE"/>
    <w:rsid w:val="00DC0B50"/>
    <w:rsid w:val="00DD629A"/>
    <w:rsid w:val="00E011C4"/>
    <w:rsid w:val="00E02B76"/>
    <w:rsid w:val="00E13D86"/>
    <w:rsid w:val="00E143A7"/>
    <w:rsid w:val="00E14479"/>
    <w:rsid w:val="00E304B4"/>
    <w:rsid w:val="00E32749"/>
    <w:rsid w:val="00E6184C"/>
    <w:rsid w:val="00E75BA3"/>
    <w:rsid w:val="00E769B8"/>
    <w:rsid w:val="00E7710B"/>
    <w:rsid w:val="00E87A9C"/>
    <w:rsid w:val="00E9296C"/>
    <w:rsid w:val="00E968AB"/>
    <w:rsid w:val="00EA0826"/>
    <w:rsid w:val="00EC3F85"/>
    <w:rsid w:val="00EF3BBF"/>
    <w:rsid w:val="00EF4DED"/>
    <w:rsid w:val="00F05E25"/>
    <w:rsid w:val="00F1461B"/>
    <w:rsid w:val="00F25DB1"/>
    <w:rsid w:val="00F44E10"/>
    <w:rsid w:val="00F47191"/>
    <w:rsid w:val="00F62291"/>
    <w:rsid w:val="00F74146"/>
    <w:rsid w:val="00F91859"/>
    <w:rsid w:val="00F96FDD"/>
    <w:rsid w:val="00FA1F06"/>
    <w:rsid w:val="00FA5E41"/>
    <w:rsid w:val="00FD1822"/>
    <w:rsid w:val="00FE3E8E"/>
    <w:rsid w:val="00FE624E"/>
    <w:rsid w:val="00FF09A0"/>
    <w:rsid w:val="010D8B2F"/>
    <w:rsid w:val="0122B104"/>
    <w:rsid w:val="0177CFC2"/>
    <w:rsid w:val="01CC13D7"/>
    <w:rsid w:val="026A84DC"/>
    <w:rsid w:val="03025665"/>
    <w:rsid w:val="03AC8C4E"/>
    <w:rsid w:val="04FE67D2"/>
    <w:rsid w:val="056DEA9C"/>
    <w:rsid w:val="05BAAD4B"/>
    <w:rsid w:val="06C3AAEF"/>
    <w:rsid w:val="06D6BC84"/>
    <w:rsid w:val="06E2C765"/>
    <w:rsid w:val="070C8B9F"/>
    <w:rsid w:val="07382673"/>
    <w:rsid w:val="07E56ED5"/>
    <w:rsid w:val="08A8DBC9"/>
    <w:rsid w:val="096578F5"/>
    <w:rsid w:val="0A848A3B"/>
    <w:rsid w:val="0AABBC89"/>
    <w:rsid w:val="0B5FFBC4"/>
    <w:rsid w:val="0B62E354"/>
    <w:rsid w:val="0BC83038"/>
    <w:rsid w:val="0C435D8F"/>
    <w:rsid w:val="0CBDCE39"/>
    <w:rsid w:val="0DA02CA9"/>
    <w:rsid w:val="0DAD4CB9"/>
    <w:rsid w:val="0E91FF36"/>
    <w:rsid w:val="0F8B80EF"/>
    <w:rsid w:val="0FD34A09"/>
    <w:rsid w:val="1095B371"/>
    <w:rsid w:val="111F1375"/>
    <w:rsid w:val="113211A5"/>
    <w:rsid w:val="11BA2B0F"/>
    <w:rsid w:val="11F1AFF7"/>
    <w:rsid w:val="13100010"/>
    <w:rsid w:val="13A3BDF8"/>
    <w:rsid w:val="13E7E45F"/>
    <w:rsid w:val="14885C67"/>
    <w:rsid w:val="152E9942"/>
    <w:rsid w:val="153CB72F"/>
    <w:rsid w:val="158FBAD3"/>
    <w:rsid w:val="15CE6149"/>
    <w:rsid w:val="172D2D76"/>
    <w:rsid w:val="177791AC"/>
    <w:rsid w:val="18694E20"/>
    <w:rsid w:val="1886FEBC"/>
    <w:rsid w:val="1950B524"/>
    <w:rsid w:val="1A21EA47"/>
    <w:rsid w:val="1A3A234F"/>
    <w:rsid w:val="1A9C6CB2"/>
    <w:rsid w:val="1B1E02CE"/>
    <w:rsid w:val="1B4D7D08"/>
    <w:rsid w:val="1CB5048C"/>
    <w:rsid w:val="1D083A95"/>
    <w:rsid w:val="1D178117"/>
    <w:rsid w:val="1DBDE1AC"/>
    <w:rsid w:val="1E1F26AE"/>
    <w:rsid w:val="1E67FB16"/>
    <w:rsid w:val="1EEA8D27"/>
    <w:rsid w:val="1F0A8E14"/>
    <w:rsid w:val="1F3BEDCB"/>
    <w:rsid w:val="1FD9AC64"/>
    <w:rsid w:val="20056CCF"/>
    <w:rsid w:val="20784CCF"/>
    <w:rsid w:val="20DBC93E"/>
    <w:rsid w:val="21107827"/>
    <w:rsid w:val="211FDBF7"/>
    <w:rsid w:val="2131C924"/>
    <w:rsid w:val="215F30F1"/>
    <w:rsid w:val="21685897"/>
    <w:rsid w:val="216A8D6D"/>
    <w:rsid w:val="21F36BD0"/>
    <w:rsid w:val="2206EBDD"/>
    <w:rsid w:val="225ABD8F"/>
    <w:rsid w:val="2275EE54"/>
    <w:rsid w:val="229EEC18"/>
    <w:rsid w:val="22A10AAD"/>
    <w:rsid w:val="2333E2F8"/>
    <w:rsid w:val="23555441"/>
    <w:rsid w:val="24478591"/>
    <w:rsid w:val="24C59C16"/>
    <w:rsid w:val="24E473D8"/>
    <w:rsid w:val="254F79B7"/>
    <w:rsid w:val="25C8B646"/>
    <w:rsid w:val="25DD115A"/>
    <w:rsid w:val="267650C9"/>
    <w:rsid w:val="26B6739C"/>
    <w:rsid w:val="26BABC62"/>
    <w:rsid w:val="271A4F5F"/>
    <w:rsid w:val="2768B74F"/>
    <w:rsid w:val="289671C6"/>
    <w:rsid w:val="28C2383C"/>
    <w:rsid w:val="290E4290"/>
    <w:rsid w:val="29302830"/>
    <w:rsid w:val="29435AF7"/>
    <w:rsid w:val="2BD78CD1"/>
    <w:rsid w:val="2D3BE907"/>
    <w:rsid w:val="2DAFBDFA"/>
    <w:rsid w:val="2E1845F4"/>
    <w:rsid w:val="2E56FC19"/>
    <w:rsid w:val="2F2EAEE7"/>
    <w:rsid w:val="3093C7FC"/>
    <w:rsid w:val="30C6FC70"/>
    <w:rsid w:val="30FD5825"/>
    <w:rsid w:val="3150DB79"/>
    <w:rsid w:val="315AF3EA"/>
    <w:rsid w:val="31A8E527"/>
    <w:rsid w:val="31BB908D"/>
    <w:rsid w:val="31CBF06D"/>
    <w:rsid w:val="3230C28B"/>
    <w:rsid w:val="3232D573"/>
    <w:rsid w:val="32531164"/>
    <w:rsid w:val="33722673"/>
    <w:rsid w:val="34DFD2F2"/>
    <w:rsid w:val="35A5BEF5"/>
    <w:rsid w:val="3607AFEF"/>
    <w:rsid w:val="3625EEC2"/>
    <w:rsid w:val="36336C7C"/>
    <w:rsid w:val="36605729"/>
    <w:rsid w:val="3665C534"/>
    <w:rsid w:val="369878EE"/>
    <w:rsid w:val="394CAF00"/>
    <w:rsid w:val="3967C61B"/>
    <w:rsid w:val="39F7C003"/>
    <w:rsid w:val="3ADC4520"/>
    <w:rsid w:val="3BF364D1"/>
    <w:rsid w:val="3CD9375A"/>
    <w:rsid w:val="3D768762"/>
    <w:rsid w:val="3E366B33"/>
    <w:rsid w:val="3E3B516F"/>
    <w:rsid w:val="3E3F23B5"/>
    <w:rsid w:val="3E48EDB1"/>
    <w:rsid w:val="3F2B98A1"/>
    <w:rsid w:val="3F69CAEC"/>
    <w:rsid w:val="3FE88C3E"/>
    <w:rsid w:val="404CB5FB"/>
    <w:rsid w:val="411CA5EB"/>
    <w:rsid w:val="414D2693"/>
    <w:rsid w:val="4302415D"/>
    <w:rsid w:val="430F6792"/>
    <w:rsid w:val="447DB225"/>
    <w:rsid w:val="45143C4E"/>
    <w:rsid w:val="4563F471"/>
    <w:rsid w:val="4583C37A"/>
    <w:rsid w:val="45A04967"/>
    <w:rsid w:val="45A2EE5F"/>
    <w:rsid w:val="46A93E54"/>
    <w:rsid w:val="46DE58CB"/>
    <w:rsid w:val="4806100A"/>
    <w:rsid w:val="48E8B920"/>
    <w:rsid w:val="48FD4B32"/>
    <w:rsid w:val="494A20C0"/>
    <w:rsid w:val="4A3C9590"/>
    <w:rsid w:val="4AAEF905"/>
    <w:rsid w:val="4BD8F98D"/>
    <w:rsid w:val="4C492A46"/>
    <w:rsid w:val="4CB23A88"/>
    <w:rsid w:val="4CFF98E9"/>
    <w:rsid w:val="4E360738"/>
    <w:rsid w:val="4E45D874"/>
    <w:rsid w:val="4E746F4D"/>
    <w:rsid w:val="4E796A5D"/>
    <w:rsid w:val="4F8A9B7E"/>
    <w:rsid w:val="4F8B49AC"/>
    <w:rsid w:val="4F8B75BB"/>
    <w:rsid w:val="502B82CF"/>
    <w:rsid w:val="5050DDC2"/>
    <w:rsid w:val="517C7519"/>
    <w:rsid w:val="51FF82F8"/>
    <w:rsid w:val="526E0393"/>
    <w:rsid w:val="546A49A2"/>
    <w:rsid w:val="546C4893"/>
    <w:rsid w:val="54A06F63"/>
    <w:rsid w:val="5593BE21"/>
    <w:rsid w:val="5649F113"/>
    <w:rsid w:val="56972C32"/>
    <w:rsid w:val="5704243A"/>
    <w:rsid w:val="57707C79"/>
    <w:rsid w:val="57D926AD"/>
    <w:rsid w:val="5847038A"/>
    <w:rsid w:val="59559A9C"/>
    <w:rsid w:val="5965D629"/>
    <w:rsid w:val="5A275622"/>
    <w:rsid w:val="5A4D6467"/>
    <w:rsid w:val="5ABB494D"/>
    <w:rsid w:val="5AEDD75B"/>
    <w:rsid w:val="5C1F1B94"/>
    <w:rsid w:val="5C456EA0"/>
    <w:rsid w:val="5C7A4201"/>
    <w:rsid w:val="5CAB3BA1"/>
    <w:rsid w:val="5D77A161"/>
    <w:rsid w:val="5DEA5BE8"/>
    <w:rsid w:val="5E71D0D9"/>
    <w:rsid w:val="5E7F87EF"/>
    <w:rsid w:val="5F315C4B"/>
    <w:rsid w:val="5F3AAC76"/>
    <w:rsid w:val="60269590"/>
    <w:rsid w:val="602A5E03"/>
    <w:rsid w:val="61243E7E"/>
    <w:rsid w:val="618C038B"/>
    <w:rsid w:val="620E535A"/>
    <w:rsid w:val="62B7A90C"/>
    <w:rsid w:val="635B5BBB"/>
    <w:rsid w:val="63AFE63B"/>
    <w:rsid w:val="63FEF415"/>
    <w:rsid w:val="644547F9"/>
    <w:rsid w:val="64654CDF"/>
    <w:rsid w:val="647BFD35"/>
    <w:rsid w:val="649DBF1D"/>
    <w:rsid w:val="656A3DBF"/>
    <w:rsid w:val="6633B530"/>
    <w:rsid w:val="665F6CAE"/>
    <w:rsid w:val="66F4B28C"/>
    <w:rsid w:val="6779EAE3"/>
    <w:rsid w:val="6819221C"/>
    <w:rsid w:val="6843449B"/>
    <w:rsid w:val="684BBE75"/>
    <w:rsid w:val="687DF2E1"/>
    <w:rsid w:val="68A25C87"/>
    <w:rsid w:val="692A7D21"/>
    <w:rsid w:val="69897072"/>
    <w:rsid w:val="6A4AC7BD"/>
    <w:rsid w:val="6B554F67"/>
    <w:rsid w:val="6B55839C"/>
    <w:rsid w:val="6B8E22EF"/>
    <w:rsid w:val="6BD97847"/>
    <w:rsid w:val="6BEF318C"/>
    <w:rsid w:val="6C7C55B0"/>
    <w:rsid w:val="6CC0F829"/>
    <w:rsid w:val="6D2411D6"/>
    <w:rsid w:val="6D71946D"/>
    <w:rsid w:val="6DEDE460"/>
    <w:rsid w:val="6E5DE82F"/>
    <w:rsid w:val="6EF345A9"/>
    <w:rsid w:val="6F208DF3"/>
    <w:rsid w:val="6F86C4DA"/>
    <w:rsid w:val="6FCADE06"/>
    <w:rsid w:val="70A77E69"/>
    <w:rsid w:val="7103B17B"/>
    <w:rsid w:val="71ED58A1"/>
    <w:rsid w:val="722E34F2"/>
    <w:rsid w:val="722FB441"/>
    <w:rsid w:val="725AF8D1"/>
    <w:rsid w:val="72A52BEC"/>
    <w:rsid w:val="7440BFFE"/>
    <w:rsid w:val="74835059"/>
    <w:rsid w:val="749329AF"/>
    <w:rsid w:val="765BC137"/>
    <w:rsid w:val="76B0617A"/>
    <w:rsid w:val="76F96EB4"/>
    <w:rsid w:val="77369777"/>
    <w:rsid w:val="775F1E04"/>
    <w:rsid w:val="77BF8195"/>
    <w:rsid w:val="78D202A5"/>
    <w:rsid w:val="78DAE2DC"/>
    <w:rsid w:val="790CAEDB"/>
    <w:rsid w:val="7943BBFD"/>
    <w:rsid w:val="79A594B1"/>
    <w:rsid w:val="7A0C62AD"/>
    <w:rsid w:val="7A21765B"/>
    <w:rsid w:val="7AC0ADDA"/>
    <w:rsid w:val="7ACA0C38"/>
    <w:rsid w:val="7BB4B2A0"/>
    <w:rsid w:val="7BCC479B"/>
    <w:rsid w:val="7C8ABC47"/>
    <w:rsid w:val="7CEF94DF"/>
    <w:rsid w:val="7D614AA4"/>
    <w:rsid w:val="7ECC715F"/>
    <w:rsid w:val="7ED22231"/>
    <w:rsid w:val="7F075DDB"/>
    <w:rsid w:val="7F1AE148"/>
    <w:rsid w:val="7F5D576B"/>
    <w:rsid w:val="7F805CF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 w:type="character" w:styleId="FollowedHyperlink">
    <w:name w:val="FollowedHyperlink"/>
    <w:basedOn w:val="DefaultParagraphFont"/>
    <w:uiPriority w:val="99"/>
    <w:semiHidden/>
    <w:unhideWhenUsed/>
    <w:rsid w:val="00DD62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stioncalidad.mincit.gov.co/IsolucionCalidad/BancoConocimientoMincomercio4/2/2DBEC777-52DF-47F3-9C76-D83B32DE2845/2DBEC777-52DF-47F3-9C76-D83B32DE2845.asp?IdArticulo=3596"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D98DE896-F95C-4012-B59D-648F0F5DB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4033</Words>
  <Characters>22182</Characters>
  <Application>Microsoft Office Word</Application>
  <DocSecurity>0</DocSecurity>
  <Lines>184</Lines>
  <Paragraphs>52</Paragraphs>
  <ScaleCrop>false</ScaleCrop>
  <Company>Ministerio de Hacienda y Crédito Público</Company>
  <LinksUpToDate>false</LinksUpToDate>
  <CharactersWithSpaces>26163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57</cp:revision>
  <cp:lastPrinted>2026-06-07T04:26:00Z</cp:lastPrinted>
  <dcterms:created xsi:type="dcterms:W3CDTF">2025-11-04T16:19:00Z</dcterms:created>
  <dcterms:modified xsi:type="dcterms:W3CDTF">2026-06-07T04:26:00Z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