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F62B" w14:textId="77777777" w:rsidR="000074F2" w:rsidRPr="00463436" w:rsidRDefault="000074F2" w:rsidP="00C768DC">
      <w:pPr>
        <w:spacing w:after="0" w:line="240" w:lineRule="auto"/>
        <w:rPr>
          <w:rFonts w:ascii="Verdana" w:hAnsi="Verdana"/>
          <w:color w:val="000000" w:themeColor="text1"/>
          <w:sz w:val="16"/>
          <w:szCs w:val="16"/>
        </w:rPr>
      </w:pPr>
    </w:p>
    <w:tbl>
      <w:tblPr>
        <w:tblW w:w="0" w:type="auto"/>
        <w:jc w:val="center"/>
        <w:tblBorders>
          <w:top w:val="double" w:sz="4" w:space="0" w:color="auto"/>
          <w:left w:val="double" w:sz="4" w:space="0" w:color="auto"/>
          <w:bottom w:val="double" w:sz="4" w:space="0" w:color="auto"/>
          <w:right w:val="double" w:sz="4" w:space="0" w:color="auto"/>
          <w:insideH w:val="dotted" w:sz="4" w:space="0" w:color="auto"/>
          <w:insideV w:val="dashSmallGap" w:sz="4" w:space="0" w:color="auto"/>
        </w:tblBorders>
        <w:tblCellMar>
          <w:left w:w="70" w:type="dxa"/>
          <w:right w:w="70" w:type="dxa"/>
        </w:tblCellMar>
        <w:tblLook w:val="04A0" w:firstRow="1" w:lastRow="0" w:firstColumn="1" w:lastColumn="0" w:noHBand="0" w:noVBand="1"/>
      </w:tblPr>
      <w:tblGrid>
        <w:gridCol w:w="1631"/>
        <w:gridCol w:w="1439"/>
        <w:gridCol w:w="7700"/>
      </w:tblGrid>
      <w:tr w:rsidR="00595A07" w:rsidRPr="00463436" w14:paraId="00730D95" w14:textId="77777777" w:rsidTr="00DE6ABC">
        <w:trPr>
          <w:trHeight w:val="757"/>
          <w:jc w:val="center"/>
        </w:trPr>
        <w:tc>
          <w:tcPr>
            <w:tcW w:w="0" w:type="auto"/>
            <w:noWrap/>
            <w:vAlign w:val="center"/>
            <w:hideMark/>
          </w:tcPr>
          <w:p w14:paraId="7F929F31" w14:textId="77777777" w:rsidR="007465FE" w:rsidRPr="00463436" w:rsidRDefault="007465FE" w:rsidP="00C768DC">
            <w:pPr>
              <w:spacing w:after="0" w:line="240" w:lineRule="auto"/>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OBJETO</w:t>
            </w:r>
          </w:p>
        </w:tc>
        <w:tc>
          <w:tcPr>
            <w:tcW w:w="9139" w:type="dxa"/>
            <w:gridSpan w:val="2"/>
            <w:noWrap/>
            <w:vAlign w:val="center"/>
            <w:hideMark/>
          </w:tcPr>
          <w:p w14:paraId="36F21742" w14:textId="09358A2F" w:rsidR="007465FE" w:rsidRPr="00463436" w:rsidRDefault="00422D1C" w:rsidP="00463436">
            <w:pPr>
              <w:jc w:val="center"/>
              <w:rPr>
                <w:rFonts w:ascii="Verdana" w:hAnsi="Verdana"/>
                <w:i/>
                <w:iCs/>
                <w:sz w:val="16"/>
                <w:szCs w:val="16"/>
              </w:rPr>
            </w:pPr>
            <w:r w:rsidRPr="00DE6ABC">
              <w:rPr>
                <w:rFonts w:ascii="Verdana" w:hAnsi="Verdana"/>
                <w:i/>
                <w:iCs/>
                <w:color w:val="EE0000"/>
                <w:sz w:val="16"/>
                <w:szCs w:val="16"/>
                <w:lang w:eastAsia="es-CO"/>
              </w:rPr>
              <w:t>Indicar el objeto del contrato a suscribir</w:t>
            </w:r>
          </w:p>
        </w:tc>
      </w:tr>
      <w:tr w:rsidR="00595A07" w:rsidRPr="00463436" w14:paraId="155C0CBC" w14:textId="77777777" w:rsidTr="00DE6ABC">
        <w:trPr>
          <w:trHeight w:val="757"/>
          <w:jc w:val="center"/>
        </w:trPr>
        <w:tc>
          <w:tcPr>
            <w:tcW w:w="0" w:type="auto"/>
            <w:noWrap/>
            <w:vAlign w:val="center"/>
          </w:tcPr>
          <w:p w14:paraId="58DCAEFF" w14:textId="77777777" w:rsidR="00C768DC" w:rsidRPr="00463436" w:rsidRDefault="00C768DC" w:rsidP="00C768DC">
            <w:pPr>
              <w:spacing w:after="0" w:line="240" w:lineRule="auto"/>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FECHA</w:t>
            </w:r>
          </w:p>
        </w:tc>
        <w:tc>
          <w:tcPr>
            <w:tcW w:w="9139" w:type="dxa"/>
            <w:gridSpan w:val="2"/>
            <w:noWrap/>
            <w:vAlign w:val="center"/>
          </w:tcPr>
          <w:p w14:paraId="25324A60" w14:textId="581954D0" w:rsidR="00C768DC" w:rsidRPr="00463436" w:rsidRDefault="00422D1C" w:rsidP="00363CEE">
            <w:pPr>
              <w:spacing w:after="0" w:line="240" w:lineRule="auto"/>
              <w:jc w:val="center"/>
              <w:rPr>
                <w:rFonts w:ascii="Verdana" w:eastAsia="Times New Roman" w:hAnsi="Verdana" w:cs="Calibri"/>
                <w:color w:val="000000" w:themeColor="text1"/>
                <w:sz w:val="16"/>
                <w:szCs w:val="16"/>
                <w:lang w:eastAsia="es-CO"/>
              </w:rPr>
            </w:pPr>
            <w:r w:rsidRPr="00DE6ABC">
              <w:rPr>
                <w:rFonts w:ascii="Verdana" w:eastAsia="Times New Roman" w:hAnsi="Verdana" w:cs="Calibri"/>
                <w:i/>
                <w:iCs/>
                <w:color w:val="EE0000"/>
                <w:sz w:val="16"/>
                <w:szCs w:val="16"/>
                <w:lang w:eastAsia="es-CO"/>
              </w:rPr>
              <w:t>Indicar fecha del diligenciamiento</w:t>
            </w:r>
          </w:p>
        </w:tc>
      </w:tr>
      <w:tr w:rsidR="00595A07" w:rsidRPr="00463436" w14:paraId="50C5DE4F" w14:textId="77777777" w:rsidTr="00DE6ABC">
        <w:trPr>
          <w:trHeight w:val="757"/>
          <w:jc w:val="center"/>
        </w:trPr>
        <w:tc>
          <w:tcPr>
            <w:tcW w:w="0" w:type="auto"/>
            <w:noWrap/>
            <w:vAlign w:val="center"/>
          </w:tcPr>
          <w:p w14:paraId="1775332C" w14:textId="37E4BA38" w:rsidR="00045654" w:rsidRPr="00463436" w:rsidRDefault="00045654" w:rsidP="00C768DC">
            <w:pPr>
              <w:spacing w:after="0" w:line="240" w:lineRule="auto"/>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LINEA PAA</w:t>
            </w:r>
          </w:p>
        </w:tc>
        <w:tc>
          <w:tcPr>
            <w:tcW w:w="9139" w:type="dxa"/>
            <w:gridSpan w:val="2"/>
            <w:noWrap/>
            <w:vAlign w:val="center"/>
          </w:tcPr>
          <w:p w14:paraId="0638EC17" w14:textId="6A08E04E" w:rsidR="00045654" w:rsidRPr="00463436" w:rsidRDefault="00422D1C" w:rsidP="00363CEE">
            <w:pPr>
              <w:spacing w:after="0" w:line="240" w:lineRule="auto"/>
              <w:jc w:val="center"/>
              <w:rPr>
                <w:rFonts w:ascii="Verdana" w:eastAsia="Times New Roman" w:hAnsi="Verdana" w:cs="Calibri"/>
                <w:i/>
                <w:iCs/>
                <w:color w:val="000000" w:themeColor="text1"/>
                <w:sz w:val="16"/>
                <w:szCs w:val="16"/>
                <w:lang w:eastAsia="es-CO"/>
              </w:rPr>
            </w:pPr>
            <w:r w:rsidRPr="00DE6ABC">
              <w:rPr>
                <w:rFonts w:ascii="Verdana" w:eastAsia="Times New Roman" w:hAnsi="Verdana" w:cs="Calibri"/>
                <w:i/>
                <w:iCs/>
                <w:color w:val="EE0000"/>
                <w:sz w:val="16"/>
                <w:szCs w:val="16"/>
                <w:lang w:eastAsia="es-CO"/>
              </w:rPr>
              <w:t>Indicar el número de la línea</w:t>
            </w:r>
          </w:p>
        </w:tc>
      </w:tr>
      <w:tr w:rsidR="006562E5" w:rsidRPr="00463436" w14:paraId="60D80A76" w14:textId="77777777" w:rsidTr="00DE6ABC">
        <w:trPr>
          <w:trHeight w:val="2536"/>
          <w:jc w:val="center"/>
        </w:trPr>
        <w:tc>
          <w:tcPr>
            <w:tcW w:w="0" w:type="auto"/>
            <w:vMerge w:val="restart"/>
            <w:vAlign w:val="center"/>
            <w:hideMark/>
          </w:tcPr>
          <w:p w14:paraId="07614332" w14:textId="77777777" w:rsidR="007465FE" w:rsidRPr="00463436" w:rsidRDefault="007465FE" w:rsidP="00C768DC">
            <w:pPr>
              <w:pStyle w:val="ListParagraph"/>
              <w:numPr>
                <w:ilvl w:val="0"/>
                <w:numId w:val="3"/>
              </w:numPr>
              <w:spacing w:after="0" w:line="240" w:lineRule="auto"/>
              <w:ind w:left="341"/>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ASPECTOS GENERALES</w:t>
            </w:r>
          </w:p>
        </w:tc>
        <w:tc>
          <w:tcPr>
            <w:tcW w:w="1898" w:type="dxa"/>
            <w:vAlign w:val="center"/>
            <w:hideMark/>
          </w:tcPr>
          <w:p w14:paraId="395B7FCD" w14:textId="21DB90B6" w:rsidR="007465FE" w:rsidRPr="00463436" w:rsidRDefault="007465FE" w:rsidP="00C768DC">
            <w:pPr>
              <w:spacing w:after="0" w:line="240" w:lineRule="auto"/>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DESCRIPCI</w:t>
            </w:r>
            <w:r w:rsidR="006562E5">
              <w:rPr>
                <w:rFonts w:ascii="Verdana" w:eastAsia="Times New Roman" w:hAnsi="Verdana" w:cs="Calibri"/>
                <w:b/>
                <w:bCs/>
                <w:color w:val="000000" w:themeColor="text1"/>
                <w:sz w:val="16"/>
                <w:szCs w:val="16"/>
                <w:lang w:eastAsia="es-CO"/>
              </w:rPr>
              <w:t>Ó</w:t>
            </w:r>
            <w:r w:rsidRPr="00463436">
              <w:rPr>
                <w:rFonts w:ascii="Verdana" w:eastAsia="Times New Roman" w:hAnsi="Verdana" w:cs="Calibri"/>
                <w:b/>
                <w:bCs/>
                <w:color w:val="000000" w:themeColor="text1"/>
                <w:sz w:val="16"/>
                <w:szCs w:val="16"/>
                <w:lang w:eastAsia="es-CO"/>
              </w:rPr>
              <w:t>N DE LA NECESIDAD</w:t>
            </w:r>
          </w:p>
          <w:p w14:paraId="06429C84" w14:textId="17153839" w:rsidR="00F90ABC" w:rsidRPr="00463436" w:rsidRDefault="00F90ABC" w:rsidP="00010525">
            <w:pPr>
              <w:pStyle w:val="CommentText"/>
              <w:spacing w:after="0"/>
              <w:jc w:val="both"/>
              <w:rPr>
                <w:rFonts w:ascii="Verdana" w:hAnsi="Verdana"/>
                <w:color w:val="000000" w:themeColor="text1"/>
                <w:sz w:val="16"/>
                <w:szCs w:val="16"/>
              </w:rPr>
            </w:pPr>
          </w:p>
        </w:tc>
        <w:tc>
          <w:tcPr>
            <w:tcW w:w="7241" w:type="dxa"/>
            <w:tcBorders>
              <w:bottom w:val="double" w:sz="4" w:space="0" w:color="auto"/>
            </w:tcBorders>
            <w:vAlign w:val="center"/>
            <w:hideMark/>
          </w:tcPr>
          <w:p w14:paraId="5B8449ED" w14:textId="77777777" w:rsidR="003E24E4" w:rsidRPr="00463436" w:rsidRDefault="003E24E4" w:rsidP="003E24E4">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1. Objeto del estudio</w:t>
            </w:r>
          </w:p>
          <w:p w14:paraId="5B74823D" w14:textId="77777777" w:rsidR="00B7427C" w:rsidRPr="00463436" w:rsidRDefault="00B7427C" w:rsidP="003E24E4">
            <w:pPr>
              <w:spacing w:after="0" w:line="240" w:lineRule="auto"/>
              <w:rPr>
                <w:rFonts w:ascii="Verdana" w:eastAsia="Times New Roman" w:hAnsi="Verdana" w:cs="Calibri"/>
                <w:color w:val="000000" w:themeColor="text1"/>
                <w:sz w:val="16"/>
                <w:szCs w:val="16"/>
                <w:lang w:eastAsia="es-CO"/>
              </w:rPr>
            </w:pPr>
          </w:p>
          <w:p w14:paraId="77B767AD" w14:textId="6DA09E9C" w:rsidR="00B7427C" w:rsidRPr="00463436" w:rsidRDefault="00B7427C"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La contratación directa de servicios profesionales y de apoyo a la gestión se orienta a dar respuesta a necesidades institucionales específicas. Estas necesidades generalmente requieren la prestación de servicios técnicos, jurídicos, administrativos o de apoyo a la gestión, los cuales no pueden ser cubiertos por el personal de planta. Este mecanismo permite la selección de expertos con conocimientos y experiencia particulares que son clave para el cumplimiento de los objetivos institucionales.</w:t>
            </w:r>
          </w:p>
          <w:p w14:paraId="55ACC7CC" w14:textId="77777777" w:rsidR="00B7427C" w:rsidRPr="00463436" w:rsidRDefault="00B7427C"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Mediante la contratación directa, las instituciones pueden garantizar una cobertura eficiente de sus demandas, especialmente en aquellos casos donde la idoneidad del profesional es determinante, no existe pluralidad de oferentes o se requiere asegurar la continuidad técnica de los procesos. Así, el proceso de selección se justifica tanto por la especialización del perfil requerido como por la necesidad de mantener el ritmo y la calidad de la operación institucional.</w:t>
            </w:r>
          </w:p>
          <w:p w14:paraId="447B1A8B" w14:textId="7DB9A2F0" w:rsidR="008F77EA" w:rsidRPr="00463436" w:rsidRDefault="00B7427C"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Este tipo de contratación se caracteriza por su adaptación a las particularidades de cada institución, permitiendo que los servicios contratados respondan de manera precisa a las necesidades técnicas y administrativas. Además, se</w:t>
            </w:r>
            <w:r w:rsidRPr="00463436">
              <w:rPr>
                <w:rFonts w:ascii="Verdana" w:eastAsia="Times New Roman" w:hAnsi="Verdana" w:cs="Calibri"/>
                <w:b/>
                <w:bCs/>
                <w:color w:val="000000" w:themeColor="text1"/>
                <w:sz w:val="16"/>
                <w:szCs w:val="16"/>
                <w:lang w:eastAsia="es-CO"/>
              </w:rPr>
              <w:t xml:space="preserve"> implementan criterios de confidencialidad, seguimiento contractual y verificación de antecedentes para asegurar</w:t>
            </w:r>
            <w:r w:rsidRPr="00463436">
              <w:rPr>
                <w:rFonts w:ascii="Verdana" w:eastAsia="Times New Roman" w:hAnsi="Verdana" w:cs="Calibri"/>
                <w:color w:val="000000" w:themeColor="text1"/>
                <w:sz w:val="16"/>
                <w:szCs w:val="16"/>
                <w:lang w:eastAsia="es-CO"/>
              </w:rPr>
              <w:t xml:space="preserve"> que los profesionales seleccionados cumplan con los requisitos exigidos. Lo anterior es especialmente relevante cuando la oferta de profesionales con experiencia específica en sectores como la contratación estatal, la contabilidad pública o la planeación es limitada.</w:t>
            </w:r>
          </w:p>
          <w:p w14:paraId="45A75A18" w14:textId="77777777" w:rsidR="00B7427C" w:rsidRPr="00463436" w:rsidRDefault="00B7427C" w:rsidP="00463436">
            <w:pPr>
              <w:spacing w:after="0" w:line="240" w:lineRule="auto"/>
              <w:rPr>
                <w:rFonts w:ascii="Verdana" w:eastAsia="Times New Roman" w:hAnsi="Verdana" w:cs="Calibri"/>
                <w:color w:val="000000" w:themeColor="text1"/>
                <w:sz w:val="16"/>
                <w:szCs w:val="16"/>
                <w:lang w:eastAsia="es-CO"/>
              </w:rPr>
            </w:pPr>
          </w:p>
          <w:p w14:paraId="2B085500" w14:textId="77777777" w:rsidR="003E24E4" w:rsidRPr="00463436" w:rsidRDefault="003E24E4" w:rsidP="003E24E4">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2. Aspectos generales del mercado</w:t>
            </w:r>
          </w:p>
          <w:p w14:paraId="379870BF" w14:textId="77777777" w:rsidR="00B7427C" w:rsidRPr="00463436" w:rsidRDefault="00B7427C" w:rsidP="00463436">
            <w:pPr>
              <w:spacing w:after="0" w:line="240" w:lineRule="auto"/>
              <w:rPr>
                <w:rFonts w:ascii="Verdana" w:eastAsia="Times New Roman" w:hAnsi="Verdana" w:cs="Calibri"/>
                <w:color w:val="000000" w:themeColor="text1"/>
                <w:sz w:val="16"/>
                <w:szCs w:val="16"/>
                <w:lang w:eastAsia="es-CO"/>
              </w:rPr>
            </w:pPr>
          </w:p>
          <w:p w14:paraId="44739A21" w14:textId="6A4BEA6B" w:rsidR="00793259" w:rsidRPr="00463436" w:rsidRDefault="00B7427C" w:rsidP="00A560FB">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Características del mercado profesional en Colombia</w:t>
            </w:r>
          </w:p>
          <w:p w14:paraId="1F7171FA" w14:textId="77777777" w:rsidR="00A560FB" w:rsidRPr="00463436" w:rsidRDefault="00A560FB" w:rsidP="00A560FB">
            <w:pPr>
              <w:rPr>
                <w:rFonts w:ascii="Verdana" w:hAnsi="Verdana"/>
                <w:sz w:val="16"/>
                <w:szCs w:val="16"/>
                <w:lang w:eastAsia="es-CO"/>
              </w:rPr>
            </w:pPr>
          </w:p>
          <w:p w14:paraId="6D307591" w14:textId="141913FD" w:rsidR="00B7427C" w:rsidRPr="00463436" w:rsidRDefault="00B7427C" w:rsidP="00B7427C">
            <w:pPr>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El mercado de profesionales en Colombia destaca por su amplitud y diversidad, lo que facilita la segmentación de la oferta laboral según distintos criterios. Entre estos criterios se encuentran el nivel educativo, la experiencia previa, la especialización en áreas específicas y la ubicación geográfica de los candidatos. Esta segmentación contribuye a que las instituciones puedan identificar y seleccionar perfiles que se ajusten de manera precisa a sus necesidades particulares.</w:t>
            </w:r>
            <w:r w:rsidR="00A560FB" w:rsidRPr="00463436">
              <w:rPr>
                <w:rFonts w:ascii="Verdana" w:eastAsia="Times New Roman" w:hAnsi="Verdana" w:cs="Calibri"/>
                <w:color w:val="000000" w:themeColor="text1"/>
                <w:sz w:val="16"/>
                <w:szCs w:val="16"/>
                <w:lang w:eastAsia="es-CO"/>
              </w:rPr>
              <w:t xml:space="preserve"> </w:t>
            </w:r>
          </w:p>
          <w:p w14:paraId="4A7F3643" w14:textId="77777777" w:rsidR="00B7427C" w:rsidRPr="00463436" w:rsidRDefault="00B7427C" w:rsidP="00B7427C">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Herramientas para la identificación de profesionales</w:t>
            </w:r>
          </w:p>
          <w:p w14:paraId="23B4B15B" w14:textId="77777777" w:rsidR="00B7427C" w:rsidRPr="00463436" w:rsidRDefault="00B7427C" w:rsidP="00463436">
            <w:pPr>
              <w:rPr>
                <w:rFonts w:ascii="Verdana" w:hAnsi="Verdana"/>
                <w:sz w:val="16"/>
                <w:szCs w:val="16"/>
                <w:lang w:eastAsia="es-CO"/>
              </w:rPr>
            </w:pPr>
          </w:p>
          <w:p w14:paraId="2C4C0668" w14:textId="77777777" w:rsidR="00B7427C" w:rsidRPr="00463436" w:rsidRDefault="00B7427C" w:rsidP="00B7427C">
            <w:pPr>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Para llevar a cabo la identificación de profesionales disponibles en el país, existen plataformas especializadas que juegan un papel fundamental en el proceso de selección. Entre ellas, se encuentran portales como SECOP II, LinkedIn y diversas bolsas de empleo. Estas herramientas ofrecen acceso a información detallada y relevante sobre los candidatos, </w:t>
            </w:r>
            <w:r w:rsidRPr="00463436">
              <w:rPr>
                <w:rFonts w:ascii="Verdana" w:eastAsia="Times New Roman" w:hAnsi="Verdana" w:cs="Calibri"/>
                <w:color w:val="000000" w:themeColor="text1"/>
                <w:sz w:val="16"/>
                <w:szCs w:val="16"/>
                <w:lang w:eastAsia="es-CO"/>
              </w:rPr>
              <w:lastRenderedPageBreak/>
              <w:t>lo que permite a las instituciones realizar una selección más precisa y eficiente acorde con sus requerimientos.</w:t>
            </w:r>
          </w:p>
          <w:p w14:paraId="68169F89" w14:textId="59D3C09B" w:rsidR="00B7427C" w:rsidRPr="00463436" w:rsidRDefault="00B7427C" w:rsidP="00F67D58">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Justificación de la contratación directa</w:t>
            </w:r>
          </w:p>
          <w:p w14:paraId="7D37A8D6" w14:textId="77777777" w:rsidR="00F67D58" w:rsidRPr="00463436" w:rsidRDefault="00F67D58" w:rsidP="00463436">
            <w:pPr>
              <w:rPr>
                <w:rFonts w:ascii="Verdana" w:hAnsi="Verdana"/>
                <w:sz w:val="16"/>
                <w:szCs w:val="16"/>
                <w:lang w:eastAsia="es-CO"/>
              </w:rPr>
            </w:pPr>
          </w:p>
          <w:p w14:paraId="40A5C8BD" w14:textId="4A2DF1DE" w:rsidR="003E24E4" w:rsidRPr="00463436" w:rsidRDefault="00B7427C" w:rsidP="00463436">
            <w:pPr>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La contratación directa se presenta como una opción viable en aquellos casos en los que es posible justificar la idoneidad del profesional seleccionado. Este mecanismo es especialmente pertinente cuando no existe pluralidad de oferentes o cuando es necesario asegurar la continuidad técnica en los procesos institucionales. De este modo, la contratación directa garantiza que los servicios prestados respondan de manera adecuada a las particularidades y exigencias propias de cada institución.</w:t>
            </w:r>
          </w:p>
          <w:p w14:paraId="17028E01" w14:textId="01395541" w:rsidR="00A560FB" w:rsidRPr="00463436" w:rsidRDefault="00793259" w:rsidP="00A560FB">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3. Modelo de abastecimiento estratégico</w:t>
            </w:r>
          </w:p>
          <w:p w14:paraId="6F513EB3" w14:textId="77777777" w:rsidR="00A560FB" w:rsidRPr="00463436" w:rsidRDefault="00A560FB" w:rsidP="00463436">
            <w:pPr>
              <w:rPr>
                <w:rFonts w:ascii="Verdana" w:hAnsi="Verdana"/>
                <w:sz w:val="16"/>
                <w:szCs w:val="16"/>
                <w:lang w:eastAsia="es-CO"/>
              </w:rPr>
            </w:pPr>
          </w:p>
          <w:p w14:paraId="771C49AF" w14:textId="77777777" w:rsidR="00793259" w:rsidRPr="00463436" w:rsidRDefault="00793259"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La demanda institucional se focaliza en aquellos servicios especializados que no pueden ser asumidos por el personal de planta, o que requieren altos estándares de confidencialidad. En estos casos, la oferta resulta limitada, pues solo algunos profesionales cuentan con la experiencia específica que se demanda en áreas como la contratación estatal, la contabilidad pública y la planeación. Para mitigar los riesgos inherentes a este tipo de contratación, se establecen cláusulas de confidencialidad, mecanismos de seguimiento contractual y procesos rigurosos de verificación de antecedentes, asegurando así la idoneidad y confiabilidad del recurso humano vinculado.</w:t>
            </w:r>
          </w:p>
          <w:p w14:paraId="49CBE7CE" w14:textId="3059BFC9" w:rsidR="00A560FB" w:rsidRPr="00463436" w:rsidRDefault="00793259" w:rsidP="0012657A">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4. Comportamiento del gasto histórico</w:t>
            </w:r>
          </w:p>
          <w:p w14:paraId="2A7E9717" w14:textId="77777777" w:rsidR="0012657A" w:rsidRPr="00463436" w:rsidRDefault="0012657A" w:rsidP="00463436">
            <w:pPr>
              <w:rPr>
                <w:rFonts w:ascii="Verdana" w:hAnsi="Verdana"/>
                <w:sz w:val="16"/>
                <w:szCs w:val="16"/>
                <w:lang w:eastAsia="es-CO"/>
              </w:rPr>
            </w:pPr>
          </w:p>
          <w:p w14:paraId="666CF0B8" w14:textId="45BE7548" w:rsidR="00793259" w:rsidRPr="00463436" w:rsidRDefault="00793259"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Las entidades han acudido a la contratación de profesionales mediante la modalidad de prestación de servicios, manejando rangos salariales que oscilan entre $3.000.000 y $</w:t>
            </w:r>
            <w:r w:rsidR="00A560FB" w:rsidRPr="00463436">
              <w:rPr>
                <w:rFonts w:ascii="Verdana" w:eastAsia="Times New Roman" w:hAnsi="Verdana" w:cs="Calibri"/>
                <w:color w:val="000000" w:themeColor="text1"/>
                <w:sz w:val="16"/>
                <w:szCs w:val="16"/>
                <w:lang w:eastAsia="es-CO"/>
              </w:rPr>
              <w:t>12</w:t>
            </w:r>
            <w:r w:rsidRPr="00463436">
              <w:rPr>
                <w:rFonts w:ascii="Verdana" w:eastAsia="Times New Roman" w:hAnsi="Verdana" w:cs="Calibri"/>
                <w:color w:val="000000" w:themeColor="text1"/>
                <w:sz w:val="16"/>
                <w:szCs w:val="16"/>
                <w:lang w:eastAsia="es-CO"/>
              </w:rPr>
              <w:t>.000.000 mensuales</w:t>
            </w:r>
            <w:r w:rsidR="00A560FB" w:rsidRPr="00463436">
              <w:rPr>
                <w:rFonts w:ascii="Verdana" w:eastAsia="Times New Roman" w:hAnsi="Verdana" w:cs="Calibri"/>
                <w:color w:val="000000" w:themeColor="text1"/>
                <w:sz w:val="16"/>
                <w:szCs w:val="16"/>
                <w:lang w:eastAsia="es-CO"/>
              </w:rPr>
              <w:t>, datos estimados</w:t>
            </w:r>
            <w:r w:rsidRPr="00463436">
              <w:rPr>
                <w:rFonts w:ascii="Verdana" w:eastAsia="Times New Roman" w:hAnsi="Verdana" w:cs="Calibri"/>
                <w:color w:val="000000" w:themeColor="text1"/>
                <w:sz w:val="16"/>
                <w:szCs w:val="16"/>
                <w:lang w:eastAsia="es-CO"/>
              </w:rPr>
              <w:t>, de acuerdo con el perfil requerido. En ejercicios precedentes, esta modalidad ha sido utilizada para vincular abogados, ingenieros, contadores, comunicadores y otros expertos, respondiendo a la diversidad de necesidades institucionales que surgen en el desarrollo de sus funciones.</w:t>
            </w:r>
          </w:p>
          <w:p w14:paraId="6056131E" w14:textId="2E1542FA" w:rsidR="00A560FB" w:rsidRPr="00463436" w:rsidRDefault="00793259" w:rsidP="00A560FB">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5. Estudio de la oferta</w:t>
            </w:r>
          </w:p>
          <w:p w14:paraId="18037A63" w14:textId="77777777" w:rsidR="00A560FB" w:rsidRPr="00463436" w:rsidRDefault="00A560FB" w:rsidP="00463436">
            <w:pPr>
              <w:rPr>
                <w:rFonts w:ascii="Verdana" w:hAnsi="Verdana"/>
                <w:sz w:val="16"/>
                <w:szCs w:val="16"/>
                <w:lang w:eastAsia="es-CO"/>
              </w:rPr>
            </w:pPr>
          </w:p>
          <w:p w14:paraId="15EB4852" w14:textId="77777777" w:rsidR="00793259" w:rsidRPr="00463436" w:rsidRDefault="00793259"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En la identificación de los profesionales idóneos, se prioriza la experiencia comprobada en el área requerida. Adicionalmente, se verifica que los candidatos no presenten inhabilidades ni conflictos de interés que pudieran afectar la transparencia del proceso. El análisis incluye la revisión de la hoja de vida, certificaciones, trayectoria en el sector público y referencias laborales, consolidando así un proceso de selección riguroso y ajustado a los requerimientos institucionales.</w:t>
            </w:r>
          </w:p>
          <w:p w14:paraId="0B31CC3C" w14:textId="7961FCEA" w:rsidR="00A560FB" w:rsidRPr="00463436" w:rsidRDefault="00793259" w:rsidP="00A560FB">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6. Estudio de mercado</w:t>
            </w:r>
          </w:p>
          <w:p w14:paraId="27DF314C" w14:textId="77777777" w:rsidR="00FD13CD" w:rsidRPr="00463436" w:rsidRDefault="00FD13CD" w:rsidP="00A560FB">
            <w:pPr>
              <w:jc w:val="both"/>
              <w:rPr>
                <w:rFonts w:ascii="Verdana" w:eastAsia="Times New Roman" w:hAnsi="Verdana" w:cs="Calibri"/>
                <w:color w:val="000000" w:themeColor="text1"/>
                <w:sz w:val="16"/>
                <w:szCs w:val="16"/>
                <w:lang w:eastAsia="es-CO"/>
              </w:rPr>
            </w:pPr>
          </w:p>
          <w:p w14:paraId="07D335DB" w14:textId="5E8177D6" w:rsidR="00793259" w:rsidRPr="00463436" w:rsidRDefault="00793259"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Para garantizar la pertinencia y equidad en la contratación, se consulta la plataforma SECOP II con el propósito de identificar procesos similares en el sector. Además, se realiza una comparación de tarifas con estudios de mercado publicados por otras entidades, lo que permite validar que el valor ofertado esté alineado con el rango de precios vigente en el mercado, asegurando así una contratación eficiente y transparente.</w:t>
            </w:r>
          </w:p>
          <w:p w14:paraId="73F9DE7B" w14:textId="77777777" w:rsidR="00793259" w:rsidRPr="00463436" w:rsidRDefault="00793259" w:rsidP="00793259">
            <w:pPr>
              <w:pStyle w:val="Heading2"/>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7. Justificación de la modalidad de contratación directa</w:t>
            </w:r>
          </w:p>
          <w:p w14:paraId="0004A6AD" w14:textId="77777777" w:rsidR="00A560FB" w:rsidRPr="00463436" w:rsidRDefault="00A560FB" w:rsidP="00463436">
            <w:pPr>
              <w:rPr>
                <w:rFonts w:ascii="Verdana" w:hAnsi="Verdana"/>
                <w:sz w:val="16"/>
                <w:szCs w:val="16"/>
                <w:lang w:eastAsia="es-CO"/>
              </w:rPr>
            </w:pPr>
          </w:p>
          <w:p w14:paraId="0349E4F3" w14:textId="5F50D10A" w:rsidR="00FD13CD" w:rsidRPr="00463436" w:rsidRDefault="00793259" w:rsidP="00463436">
            <w:pPr>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lastRenderedPageBreak/>
              <w:t>La elección de la contratación directa se fundamenta en la necesidad de vincular un perfil específico para el cual no existe pluralidad de oferentes. En muchos casos, el profesional seleccionado ha prestado servicios previos con resultados satisfactorios, lo que facilita la continuidad técnica en los procesos institucionales. Con ello, se garantiza no solo la eficiencia y economía en la contratación, sino también la oportunidad en la respuesta a las necesidades institucionales.</w:t>
            </w:r>
          </w:p>
          <w:p w14:paraId="0AD32250" w14:textId="23B2AA06" w:rsidR="007465FE" w:rsidRPr="00463436" w:rsidRDefault="00793259"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Si bien el mercado ofrece profesionales idóneos, la particularidad de la necesidad institucional exige recurrir a la contratación directa, motivada por razones técnicas y estratégicas. En este sentido, se recomienda formalizar el proceso mediante la realización de un estudio de sector, el análisis de precios, la revisión </w:t>
            </w:r>
            <w:r w:rsidR="00614726" w:rsidRPr="00463436">
              <w:rPr>
                <w:rFonts w:ascii="Verdana" w:eastAsia="Times New Roman" w:hAnsi="Verdana" w:cs="Calibri"/>
                <w:color w:val="000000" w:themeColor="text1"/>
                <w:sz w:val="16"/>
                <w:szCs w:val="16"/>
                <w:lang w:eastAsia="es-CO"/>
              </w:rPr>
              <w:t xml:space="preserve">de </w:t>
            </w:r>
            <w:r w:rsidRPr="00463436">
              <w:rPr>
                <w:rFonts w:ascii="Verdana" w:eastAsia="Times New Roman" w:hAnsi="Verdana" w:cs="Calibri"/>
                <w:color w:val="000000" w:themeColor="text1"/>
                <w:sz w:val="16"/>
                <w:szCs w:val="16"/>
                <w:lang w:eastAsia="es-CO"/>
              </w:rPr>
              <w:t>la hoja de vida del profesional, y la elaboración del acta de justificación correspondiente.</w:t>
            </w:r>
          </w:p>
        </w:tc>
      </w:tr>
      <w:tr w:rsidR="006562E5" w:rsidRPr="00463436" w14:paraId="6789F128" w14:textId="77777777" w:rsidTr="00DE6ABC">
        <w:trPr>
          <w:trHeight w:val="757"/>
          <w:jc w:val="center"/>
        </w:trPr>
        <w:tc>
          <w:tcPr>
            <w:tcW w:w="0" w:type="auto"/>
            <w:vMerge/>
            <w:vAlign w:val="center"/>
            <w:hideMark/>
          </w:tcPr>
          <w:p w14:paraId="73772948" w14:textId="77777777" w:rsidR="007465FE" w:rsidRPr="00463436" w:rsidRDefault="007465FE" w:rsidP="00C768DC">
            <w:pPr>
              <w:spacing w:after="0" w:line="240" w:lineRule="auto"/>
              <w:rPr>
                <w:rFonts w:ascii="Verdana" w:eastAsia="Times New Roman" w:hAnsi="Verdana" w:cs="Calibri"/>
                <w:b/>
                <w:bCs/>
                <w:color w:val="000000" w:themeColor="text1"/>
                <w:sz w:val="16"/>
                <w:szCs w:val="16"/>
                <w:lang w:eastAsia="es-CO"/>
              </w:rPr>
            </w:pPr>
          </w:p>
        </w:tc>
        <w:tc>
          <w:tcPr>
            <w:tcW w:w="1898" w:type="dxa"/>
            <w:vAlign w:val="center"/>
            <w:hideMark/>
          </w:tcPr>
          <w:p w14:paraId="3D77A744" w14:textId="77777777" w:rsidR="007465FE" w:rsidRPr="00463436" w:rsidRDefault="007465FE" w:rsidP="00C768DC">
            <w:pPr>
              <w:spacing w:after="0" w:line="240" w:lineRule="auto"/>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ECONÓMICO</w:t>
            </w:r>
          </w:p>
          <w:p w14:paraId="614DA83F" w14:textId="77777777" w:rsidR="007D322A" w:rsidRDefault="007D322A" w:rsidP="007D322A">
            <w:pPr>
              <w:pStyle w:val="CommentText"/>
              <w:spacing w:after="0"/>
              <w:jc w:val="both"/>
              <w:rPr>
                <w:rFonts w:ascii="Verdana" w:hAnsi="Verdana"/>
                <w:color w:val="000000" w:themeColor="text1"/>
                <w:sz w:val="16"/>
                <w:szCs w:val="16"/>
              </w:rPr>
            </w:pPr>
          </w:p>
          <w:p w14:paraId="11365BCA" w14:textId="38917C37" w:rsidR="00F90ABC" w:rsidRPr="00DE6ABC" w:rsidRDefault="007D322A" w:rsidP="00DE6ABC">
            <w:pPr>
              <w:pStyle w:val="CommentText"/>
              <w:spacing w:after="0"/>
              <w:jc w:val="both"/>
              <w:rPr>
                <w:rFonts w:ascii="Verdana" w:hAnsi="Verdana"/>
                <w:color w:val="000000" w:themeColor="text1"/>
                <w:sz w:val="16"/>
                <w:szCs w:val="16"/>
              </w:rPr>
            </w:pPr>
            <w:r w:rsidRPr="00DE6ABC">
              <w:rPr>
                <w:rFonts w:ascii="Verdana" w:hAnsi="Verdana"/>
                <w:color w:val="EE0000"/>
                <w:sz w:val="16"/>
                <w:szCs w:val="16"/>
              </w:rPr>
              <w:t xml:space="preserve">(Se deberá actualizar el sector económico, cuáles son las perspectivas de crecimiento e impacto económico y social que generará, impacto económico – inflacionario, </w:t>
            </w:r>
            <w:r w:rsidR="00176FE0">
              <w:rPr>
                <w:rFonts w:ascii="Verdana" w:hAnsi="Verdana"/>
                <w:color w:val="EE0000"/>
                <w:sz w:val="16"/>
                <w:szCs w:val="16"/>
              </w:rPr>
              <w:t>(</w:t>
            </w:r>
            <w:r w:rsidRPr="00DE6ABC">
              <w:rPr>
                <w:rFonts w:ascii="Verdana" w:hAnsi="Verdana"/>
                <w:color w:val="EE0000"/>
                <w:sz w:val="16"/>
                <w:szCs w:val="16"/>
              </w:rPr>
              <w:t>SMMLV, TRM), cuando aplique.</w:t>
            </w:r>
            <w:r w:rsidR="00176FE0">
              <w:rPr>
                <w:rFonts w:ascii="Verdana" w:hAnsi="Verdana"/>
                <w:color w:val="EE0000"/>
                <w:sz w:val="16"/>
                <w:szCs w:val="16"/>
              </w:rPr>
              <w:t>)</w:t>
            </w:r>
          </w:p>
        </w:tc>
        <w:tc>
          <w:tcPr>
            <w:tcW w:w="7241" w:type="dxa"/>
            <w:tcBorders>
              <w:top w:val="double" w:sz="4" w:space="0" w:color="auto"/>
            </w:tcBorders>
            <w:vAlign w:val="center"/>
            <w:hideMark/>
          </w:tcPr>
          <w:p w14:paraId="770E3714" w14:textId="77777777" w:rsidR="00B33BCB" w:rsidRPr="00463436" w:rsidRDefault="00B33BCB" w:rsidP="00B33BCB">
            <w:pPr>
              <w:spacing w:after="0" w:line="240" w:lineRule="auto"/>
              <w:rPr>
                <w:rFonts w:ascii="Verdana" w:eastAsia="Times New Roman" w:hAnsi="Verdana" w:cs="Calibri"/>
                <w:color w:val="000000" w:themeColor="text1"/>
                <w:sz w:val="16"/>
                <w:szCs w:val="16"/>
                <w:lang w:eastAsia="es-CO"/>
              </w:rPr>
            </w:pPr>
          </w:p>
          <w:p w14:paraId="1F23ED8F" w14:textId="15F2D6DA" w:rsidR="00B33BC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Indicadores del Sistema Estadístico Nacional de Colombia para el año 2025</w:t>
            </w:r>
          </w:p>
          <w:p w14:paraId="03B9DCA0" w14:textId="77777777" w:rsidR="00B33BCB" w:rsidRPr="00463436" w:rsidRDefault="00B33BCB" w:rsidP="00B33BCB">
            <w:pPr>
              <w:spacing w:after="0" w:line="240" w:lineRule="auto"/>
              <w:rPr>
                <w:rFonts w:ascii="Verdana" w:eastAsia="Times New Roman" w:hAnsi="Verdana" w:cs="Calibri"/>
                <w:color w:val="000000" w:themeColor="text1"/>
                <w:sz w:val="16"/>
                <w:szCs w:val="16"/>
                <w:lang w:eastAsia="es-CO"/>
              </w:rPr>
            </w:pPr>
          </w:p>
          <w:p w14:paraId="61BAD804" w14:textId="6A882329"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 xml:space="preserve">1. Población </w:t>
            </w:r>
          </w:p>
          <w:p w14:paraId="68B9998D"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p>
          <w:p w14:paraId="65EBAD7C" w14:textId="052B49C4"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Total 2025: 53.057.212 habitantes</w:t>
            </w:r>
          </w:p>
          <w:p w14:paraId="1D6B4C9C"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técnico</w:t>
            </w:r>
            <w:r w:rsidRPr="00463436">
              <w:rPr>
                <w:rFonts w:ascii="Verdana" w:eastAsia="Times New Roman" w:hAnsi="Verdana" w:cs="Calibri"/>
                <w:color w:val="000000" w:themeColor="text1"/>
                <w:sz w:val="16"/>
                <w:szCs w:val="16"/>
                <w:lang w:eastAsia="es-CO"/>
              </w:rPr>
              <w:t>:</w:t>
            </w:r>
          </w:p>
          <w:p w14:paraId="3866B8FD"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Fuente oficial: Sistema Estadístico Nacional (SEN).</w:t>
            </w:r>
          </w:p>
          <w:p w14:paraId="57D3A437"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Cifra proyectada para el año 2025, útil para cálculos per cápita y planeación territorial.</w:t>
            </w:r>
          </w:p>
          <w:p w14:paraId="6D4FB7CE"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Implicaciones económicas:</w:t>
            </w:r>
          </w:p>
          <w:p w14:paraId="264B5445"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A mayor población, mayor demanda de bienes y servicios.</w:t>
            </w:r>
          </w:p>
          <w:p w14:paraId="32ECAD6A"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Relevante para estimar tamaño de mercado en sectores como alimentos, salud, educación y vivienda.</w:t>
            </w:r>
          </w:p>
          <w:p w14:paraId="3CC586E3"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Impacto social:</w:t>
            </w:r>
          </w:p>
          <w:p w14:paraId="00D481F8"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Impulsa necesidades de infraestructura, empleo y políticas públicas.</w:t>
            </w:r>
          </w:p>
          <w:p w14:paraId="738AAFDA" w14:textId="77777777" w:rsidR="0020648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Puede influir en la focalización de subsidios y programas sociales.</w:t>
            </w:r>
          </w:p>
          <w:p w14:paraId="4297D7A7" w14:textId="77777777" w:rsidR="00503506" w:rsidRPr="00463436" w:rsidRDefault="00503506" w:rsidP="00B33BCB">
            <w:pPr>
              <w:spacing w:after="0" w:line="240" w:lineRule="auto"/>
              <w:rPr>
                <w:rFonts w:ascii="Verdana" w:eastAsia="Times New Roman" w:hAnsi="Verdana" w:cs="Calibri"/>
                <w:color w:val="000000" w:themeColor="text1"/>
                <w:sz w:val="16"/>
                <w:szCs w:val="16"/>
                <w:lang w:eastAsia="es-CO"/>
              </w:rPr>
            </w:pPr>
          </w:p>
          <w:p w14:paraId="7B57F175" w14:textId="77777777" w:rsidR="00503506" w:rsidRPr="00463436" w:rsidRDefault="00503506" w:rsidP="0050350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El censo permite al país ser más preciso en la toma de decisiones y orientar políticas públicas en aspectos sociales.</w:t>
            </w:r>
          </w:p>
          <w:p w14:paraId="77D70299" w14:textId="77777777" w:rsidR="00503506" w:rsidRPr="00463436" w:rsidRDefault="00503506" w:rsidP="0050350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Aquí puede ver cómo está compuesta la población en Colombia (proporción de personas mayores, jóvenes, proporción de mujeres y de hombres, entre otros).</w:t>
            </w:r>
          </w:p>
          <w:p w14:paraId="75025348" w14:textId="77777777" w:rsidR="00503506" w:rsidRPr="00463436" w:rsidRDefault="00503506" w:rsidP="00503506">
            <w:pPr>
              <w:spacing w:after="0" w:line="240" w:lineRule="auto"/>
              <w:rPr>
                <w:rFonts w:ascii="Verdana" w:eastAsia="Times New Roman" w:hAnsi="Verdana" w:cs="Calibri"/>
                <w:color w:val="000000" w:themeColor="text1"/>
                <w:sz w:val="16"/>
                <w:szCs w:val="16"/>
                <w:lang w:eastAsia="es-CO"/>
              </w:rPr>
            </w:pPr>
          </w:p>
          <w:p w14:paraId="736FE4C7" w14:textId="052B7894" w:rsidR="00503506" w:rsidRPr="00463436" w:rsidRDefault="00503506" w:rsidP="00463436">
            <w:pPr>
              <w:spacing w:after="0" w:line="240" w:lineRule="auto"/>
              <w:jc w:val="center"/>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drawing>
                <wp:inline distT="0" distB="0" distL="0" distR="0" wp14:anchorId="6FBD6D53" wp14:editId="06A6F1B9">
                  <wp:extent cx="5244121" cy="579120"/>
                  <wp:effectExtent l="0" t="0" r="0" b="0"/>
                  <wp:docPr id="1968209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09413" name=""/>
                          <pic:cNvPicPr/>
                        </pic:nvPicPr>
                        <pic:blipFill>
                          <a:blip r:embed="rId11"/>
                          <a:stretch>
                            <a:fillRect/>
                          </a:stretch>
                        </pic:blipFill>
                        <pic:spPr>
                          <a:xfrm>
                            <a:off x="0" y="0"/>
                            <a:ext cx="5246233" cy="579353"/>
                          </a:xfrm>
                          <a:prstGeom prst="rect">
                            <a:avLst/>
                          </a:prstGeom>
                        </pic:spPr>
                      </pic:pic>
                    </a:graphicData>
                  </a:graphic>
                </wp:inline>
              </w:drawing>
            </w:r>
          </w:p>
          <w:p w14:paraId="2F3B530A" w14:textId="77777777" w:rsidR="00503506" w:rsidRPr="00463436" w:rsidRDefault="00503506" w:rsidP="00B33BCB">
            <w:pPr>
              <w:spacing w:after="0" w:line="240" w:lineRule="auto"/>
              <w:rPr>
                <w:rFonts w:ascii="Verdana" w:eastAsia="Times New Roman" w:hAnsi="Verdana" w:cs="Calibri"/>
                <w:color w:val="000000" w:themeColor="text1"/>
                <w:sz w:val="16"/>
                <w:szCs w:val="16"/>
                <w:lang w:eastAsia="es-CO"/>
              </w:rPr>
            </w:pPr>
          </w:p>
          <w:p w14:paraId="28488785" w14:textId="77777777" w:rsidR="00503506" w:rsidRPr="00463436" w:rsidRDefault="00503506" w:rsidP="00B33BCB">
            <w:pPr>
              <w:spacing w:after="0" w:line="240" w:lineRule="auto"/>
              <w:rPr>
                <w:rFonts w:ascii="Verdana" w:eastAsia="Times New Roman" w:hAnsi="Verdana" w:cs="Calibri"/>
                <w:color w:val="000000" w:themeColor="text1"/>
                <w:sz w:val="16"/>
                <w:szCs w:val="16"/>
                <w:lang w:eastAsia="es-CO"/>
              </w:rPr>
            </w:pPr>
          </w:p>
          <w:p w14:paraId="2181FFD4" w14:textId="08F7A4C8" w:rsidR="00503506" w:rsidRPr="00463436" w:rsidRDefault="00503506" w:rsidP="00463436">
            <w:pPr>
              <w:spacing w:after="0" w:line="240" w:lineRule="auto"/>
              <w:jc w:val="center"/>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drawing>
                <wp:inline distT="0" distB="0" distL="0" distR="0" wp14:anchorId="1F793C17" wp14:editId="4786EF10">
                  <wp:extent cx="4064222" cy="2004060"/>
                  <wp:effectExtent l="0" t="0" r="0" b="0"/>
                  <wp:docPr id="1469315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15670" name=""/>
                          <pic:cNvPicPr/>
                        </pic:nvPicPr>
                        <pic:blipFill>
                          <a:blip r:embed="rId12"/>
                          <a:stretch>
                            <a:fillRect/>
                          </a:stretch>
                        </pic:blipFill>
                        <pic:spPr>
                          <a:xfrm>
                            <a:off x="0" y="0"/>
                            <a:ext cx="4068519" cy="2006179"/>
                          </a:xfrm>
                          <a:prstGeom prst="rect">
                            <a:avLst/>
                          </a:prstGeom>
                        </pic:spPr>
                      </pic:pic>
                    </a:graphicData>
                  </a:graphic>
                </wp:inline>
              </w:drawing>
            </w:r>
          </w:p>
          <w:p w14:paraId="38F35807" w14:textId="77777777" w:rsidR="00614726" w:rsidRPr="00463436" w:rsidRDefault="00614726" w:rsidP="00B33BCB">
            <w:pPr>
              <w:spacing w:after="0" w:line="240" w:lineRule="auto"/>
              <w:rPr>
                <w:rFonts w:ascii="Verdana" w:eastAsia="Times New Roman" w:hAnsi="Verdana" w:cs="Calibri"/>
                <w:color w:val="000000" w:themeColor="text1"/>
                <w:sz w:val="16"/>
                <w:szCs w:val="16"/>
                <w:lang w:eastAsia="es-CO"/>
              </w:rPr>
            </w:pPr>
          </w:p>
          <w:p w14:paraId="5D942C8D" w14:textId="59363A06" w:rsidR="00614726" w:rsidRPr="00463436" w:rsidRDefault="00614726"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lastRenderedPageBreak/>
              <w:t xml:space="preserve">Fuente: </w:t>
            </w:r>
            <w:hyperlink r:id="rId13" w:history="1">
              <w:r w:rsidRPr="00463436">
                <w:rPr>
                  <w:rFonts w:ascii="Verdana" w:hAnsi="Verdana"/>
                  <w:color w:val="000000" w:themeColor="text1"/>
                  <w:sz w:val="16"/>
                  <w:szCs w:val="16"/>
                </w:rPr>
                <w:t>https://www.dane.gov.co/index.php/estadisticas-por-tema/demografia-y-poblacion/censo-nacional-de-poblacion-y-vivenda-2018/cuantos-somos</w:t>
              </w:r>
            </w:hyperlink>
            <w:r w:rsidRPr="00463436">
              <w:rPr>
                <w:rFonts w:ascii="Verdana" w:eastAsia="Times New Roman" w:hAnsi="Verdana" w:cs="Calibri"/>
                <w:color w:val="000000" w:themeColor="text1"/>
                <w:sz w:val="16"/>
                <w:szCs w:val="16"/>
                <w:lang w:eastAsia="es-CO"/>
              </w:rPr>
              <w:t xml:space="preserve">. </w:t>
            </w:r>
          </w:p>
          <w:p w14:paraId="58E13ADC" w14:textId="77777777" w:rsidR="00B33BCB" w:rsidRPr="00463436" w:rsidRDefault="00B33BCB" w:rsidP="00B33BCB">
            <w:pPr>
              <w:spacing w:after="0" w:line="240" w:lineRule="auto"/>
              <w:rPr>
                <w:rFonts w:ascii="Verdana" w:eastAsia="Times New Roman" w:hAnsi="Verdana" w:cs="Calibri"/>
                <w:color w:val="000000" w:themeColor="text1"/>
                <w:sz w:val="16"/>
                <w:szCs w:val="16"/>
                <w:lang w:eastAsia="es-CO"/>
              </w:rPr>
            </w:pPr>
          </w:p>
          <w:p w14:paraId="6D17B8C1" w14:textId="7305C2E0"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2. PIB (Producto Interno Bruto):</w:t>
            </w:r>
            <w:r w:rsidRPr="00463436">
              <w:rPr>
                <w:rFonts w:ascii="Verdana" w:eastAsia="Times New Roman" w:hAnsi="Verdana" w:cs="Calibri"/>
                <w:color w:val="000000" w:themeColor="text1"/>
                <w:sz w:val="16"/>
                <w:szCs w:val="16"/>
                <w:lang w:eastAsia="es-CO"/>
              </w:rPr>
              <w:t xml:space="preserve"> Variación </w:t>
            </w:r>
            <w:r w:rsidR="00ED355E" w:rsidRPr="00463436">
              <w:rPr>
                <w:rFonts w:ascii="Verdana" w:eastAsia="Times New Roman" w:hAnsi="Verdana" w:cs="Calibri"/>
                <w:color w:val="000000" w:themeColor="text1"/>
                <w:sz w:val="16"/>
                <w:szCs w:val="16"/>
                <w:lang w:eastAsia="es-CO"/>
              </w:rPr>
              <w:t>tercer</w:t>
            </w:r>
            <w:r w:rsidRPr="00463436">
              <w:rPr>
                <w:rFonts w:ascii="Verdana" w:eastAsia="Times New Roman" w:hAnsi="Verdana" w:cs="Calibri"/>
                <w:color w:val="000000" w:themeColor="text1"/>
                <w:sz w:val="16"/>
                <w:szCs w:val="16"/>
                <w:lang w:eastAsia="es-CO"/>
              </w:rPr>
              <w:t xml:space="preserve"> trimestre 2025pr: </w:t>
            </w:r>
            <w:r w:rsidR="00ED355E" w:rsidRPr="00463436">
              <w:rPr>
                <w:rFonts w:ascii="Verdana" w:eastAsia="Times New Roman" w:hAnsi="Verdana" w:cs="Calibri"/>
                <w:color w:val="000000" w:themeColor="text1"/>
                <w:sz w:val="16"/>
                <w:szCs w:val="16"/>
                <w:lang w:eastAsia="es-CO"/>
              </w:rPr>
              <w:t>3,6</w:t>
            </w:r>
            <w:r w:rsidRPr="00463436">
              <w:rPr>
                <w:rFonts w:ascii="Verdana" w:eastAsia="Times New Roman" w:hAnsi="Verdana" w:cs="Calibri"/>
                <w:color w:val="000000" w:themeColor="text1"/>
                <w:sz w:val="16"/>
                <w:szCs w:val="16"/>
                <w:lang w:eastAsia="es-CO"/>
              </w:rPr>
              <w:t>%</w:t>
            </w:r>
          </w:p>
          <w:p w14:paraId="4217AF69"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técnico:</w:t>
            </w:r>
          </w:p>
          <w:p w14:paraId="21B12D2F"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Crecimiento moderado del PIB, indicador clave de actividad económica.</w:t>
            </w:r>
          </w:p>
          <w:p w14:paraId="251F15FA"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w:t>
            </w:r>
            <w:proofErr w:type="spellStart"/>
            <w:r w:rsidRPr="00463436">
              <w:rPr>
                <w:rFonts w:ascii="Verdana" w:eastAsia="Times New Roman" w:hAnsi="Verdana" w:cs="Calibri"/>
                <w:color w:val="000000" w:themeColor="text1"/>
                <w:sz w:val="16"/>
                <w:szCs w:val="16"/>
                <w:lang w:eastAsia="es-CO"/>
              </w:rPr>
              <w:t>pr</w:t>
            </w:r>
            <w:proofErr w:type="spellEnd"/>
            <w:r w:rsidRPr="00463436">
              <w:rPr>
                <w:rFonts w:ascii="Verdana" w:eastAsia="Times New Roman" w:hAnsi="Verdana" w:cs="Calibri"/>
                <w:color w:val="000000" w:themeColor="text1"/>
                <w:sz w:val="16"/>
                <w:szCs w:val="16"/>
                <w:lang w:eastAsia="es-CO"/>
              </w:rPr>
              <w:t>” indica dato preliminar, sujeto a revisión.</w:t>
            </w:r>
          </w:p>
          <w:p w14:paraId="349AF09D"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Implicaciones económicas:</w:t>
            </w:r>
          </w:p>
          <w:p w14:paraId="370D73E1"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Señala recuperación o estabilidad económica.</w:t>
            </w:r>
          </w:p>
          <w:p w14:paraId="1A234519"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Afecta decisiones de inversión pública y privada.</w:t>
            </w:r>
          </w:p>
          <w:p w14:paraId="561E9910"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Impacto social:</w:t>
            </w:r>
          </w:p>
          <w:p w14:paraId="6EE2D181"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Un crecimiento positivo puede traducirse en mayor empleo y consumo.</w:t>
            </w:r>
          </w:p>
          <w:p w14:paraId="0E8C21C6" w14:textId="77777777" w:rsidR="0020648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Relevante para evaluar capacidad fiscal del Estado.</w:t>
            </w:r>
          </w:p>
          <w:p w14:paraId="7A3461C2" w14:textId="77777777" w:rsidR="00ED355E" w:rsidRPr="00463436" w:rsidRDefault="00ED355E" w:rsidP="00B33BCB">
            <w:pPr>
              <w:spacing w:after="0" w:line="240" w:lineRule="auto"/>
              <w:rPr>
                <w:rFonts w:ascii="Verdana" w:eastAsia="Times New Roman" w:hAnsi="Verdana" w:cs="Calibri"/>
                <w:color w:val="000000" w:themeColor="text1"/>
                <w:sz w:val="16"/>
                <w:szCs w:val="16"/>
                <w:lang w:eastAsia="es-CO"/>
              </w:rPr>
            </w:pPr>
          </w:p>
          <w:p w14:paraId="28E65B0C" w14:textId="21036D23" w:rsidR="00ED355E" w:rsidRPr="00463436" w:rsidRDefault="00ED355E"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Información tercer trimestre 2025prEn el tercer trimestre de 2025pr, el Producto Interno Bruto en su serie original, crece 3,6% respecto al mismo periodo de 2024pr</w:t>
            </w:r>
            <w:r w:rsidR="00614726" w:rsidRPr="00463436">
              <w:rPr>
                <w:rFonts w:ascii="Verdana" w:eastAsia="Times New Roman" w:hAnsi="Verdana" w:cs="Calibri"/>
                <w:color w:val="000000" w:themeColor="text1"/>
                <w:sz w:val="16"/>
                <w:szCs w:val="16"/>
                <w:lang w:eastAsia="es-CO"/>
              </w:rPr>
              <w:t xml:space="preserve"> (Realizar actualización trimestral) </w:t>
            </w:r>
          </w:p>
          <w:p w14:paraId="5CA1A3C1" w14:textId="77777777" w:rsidR="00ED355E" w:rsidRPr="00463436" w:rsidRDefault="00ED355E" w:rsidP="00B33BCB">
            <w:pPr>
              <w:spacing w:after="0" w:line="240" w:lineRule="auto"/>
              <w:rPr>
                <w:rFonts w:ascii="Verdana" w:eastAsia="Times New Roman" w:hAnsi="Verdana" w:cs="Calibri"/>
                <w:color w:val="000000" w:themeColor="text1"/>
                <w:sz w:val="16"/>
                <w:szCs w:val="16"/>
                <w:lang w:eastAsia="es-CO"/>
              </w:rPr>
            </w:pPr>
          </w:p>
          <w:p w14:paraId="157FADA7" w14:textId="77777777" w:rsidR="00ED355E" w:rsidRPr="00463436" w:rsidRDefault="00ED355E" w:rsidP="00B33BCB">
            <w:pPr>
              <w:spacing w:after="0" w:line="240" w:lineRule="auto"/>
              <w:rPr>
                <w:rFonts w:ascii="Verdana" w:eastAsia="Times New Roman" w:hAnsi="Verdana" w:cs="Calibri"/>
                <w:color w:val="000000" w:themeColor="text1"/>
                <w:sz w:val="16"/>
                <w:szCs w:val="16"/>
                <w:lang w:eastAsia="es-CO"/>
              </w:rPr>
            </w:pPr>
          </w:p>
          <w:p w14:paraId="0B005C11" w14:textId="0017B927" w:rsidR="00ED355E" w:rsidRPr="00463436" w:rsidRDefault="00ED355E"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drawing>
                <wp:inline distT="0" distB="0" distL="0" distR="0" wp14:anchorId="2926C78A" wp14:editId="18AFA117">
                  <wp:extent cx="4843942" cy="2750820"/>
                  <wp:effectExtent l="0" t="0" r="0" b="0"/>
                  <wp:docPr id="21308653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65370" name=""/>
                          <pic:cNvPicPr/>
                        </pic:nvPicPr>
                        <pic:blipFill>
                          <a:blip r:embed="rId14"/>
                          <a:stretch>
                            <a:fillRect/>
                          </a:stretch>
                        </pic:blipFill>
                        <pic:spPr>
                          <a:xfrm>
                            <a:off x="0" y="0"/>
                            <a:ext cx="4846672" cy="2752370"/>
                          </a:xfrm>
                          <a:prstGeom prst="rect">
                            <a:avLst/>
                          </a:prstGeom>
                        </pic:spPr>
                      </pic:pic>
                    </a:graphicData>
                  </a:graphic>
                </wp:inline>
              </w:drawing>
            </w:r>
          </w:p>
          <w:p w14:paraId="30B3DD4C" w14:textId="77777777" w:rsidR="00614726" w:rsidRPr="00463436" w:rsidRDefault="00614726" w:rsidP="00B33BCB">
            <w:pPr>
              <w:spacing w:after="0" w:line="240" w:lineRule="auto"/>
              <w:rPr>
                <w:rFonts w:ascii="Verdana" w:eastAsia="Times New Roman" w:hAnsi="Verdana" w:cs="Calibri"/>
                <w:color w:val="000000" w:themeColor="text1"/>
                <w:sz w:val="16"/>
                <w:szCs w:val="16"/>
                <w:lang w:eastAsia="es-CO"/>
              </w:rPr>
            </w:pPr>
          </w:p>
          <w:p w14:paraId="64FAA714" w14:textId="77777777" w:rsidR="00614726" w:rsidRPr="00463436" w:rsidRDefault="00614726" w:rsidP="0061472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Las actividades económicas que más contribuyen a la dinámica del valor agregado son:</w:t>
            </w:r>
          </w:p>
          <w:p w14:paraId="7EE897CF" w14:textId="77777777" w:rsidR="00614726" w:rsidRPr="00463436" w:rsidRDefault="00614726" w:rsidP="00614726">
            <w:pPr>
              <w:numPr>
                <w:ilvl w:val="0"/>
                <w:numId w:val="12"/>
              </w:num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Administración pública y defensa; planes de seguridad social de afiliación obligatoria; Educación; Actividades de atención de la salud humana y de servicios sociales crece 8,0% (contribuye 1,3 puntos porcentuales a la variación anual).</w:t>
            </w:r>
          </w:p>
          <w:p w14:paraId="3C14CF78" w14:textId="77777777" w:rsidR="00614726" w:rsidRPr="00463436" w:rsidRDefault="00614726" w:rsidP="00614726">
            <w:pPr>
              <w:numPr>
                <w:ilvl w:val="0"/>
                <w:numId w:val="12"/>
              </w:num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Comercio al por mayor y al por menor; reparación de vehículos automotores y motocicletas; Transporte y almacenamiento; Alojamiento y servicios de comida crece 5,6% (contribuye 1,2 puntos porcentuales a la variación anual).</w:t>
            </w:r>
          </w:p>
          <w:p w14:paraId="1A70D3F8" w14:textId="421B063D" w:rsidR="00614726" w:rsidRPr="00463436" w:rsidRDefault="00614726" w:rsidP="00B33BCB">
            <w:pPr>
              <w:numPr>
                <w:ilvl w:val="0"/>
                <w:numId w:val="12"/>
              </w:num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Industrias manufactureras crece 4,1% (contribuye 0,5 puntos porcentuales a la variación anual).</w:t>
            </w:r>
          </w:p>
          <w:p w14:paraId="02E7983D" w14:textId="77777777" w:rsidR="00614726" w:rsidRPr="00463436" w:rsidRDefault="00614726" w:rsidP="00463436">
            <w:pPr>
              <w:spacing w:after="0" w:line="240" w:lineRule="auto"/>
              <w:ind w:left="720"/>
              <w:rPr>
                <w:rFonts w:ascii="Verdana" w:eastAsia="Times New Roman" w:hAnsi="Verdana" w:cs="Calibri"/>
                <w:color w:val="000000" w:themeColor="text1"/>
                <w:sz w:val="16"/>
                <w:szCs w:val="16"/>
                <w:lang w:eastAsia="es-CO"/>
              </w:rPr>
            </w:pPr>
          </w:p>
          <w:p w14:paraId="439F2646" w14:textId="0042D20C" w:rsidR="00614726" w:rsidRPr="00463436" w:rsidRDefault="00614726"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Fuente: </w:t>
            </w:r>
            <w:hyperlink r:id="rId15" w:history="1">
              <w:r w:rsidRPr="00463436">
                <w:rPr>
                  <w:rFonts w:ascii="Verdana" w:hAnsi="Verdana"/>
                  <w:color w:val="000000" w:themeColor="text1"/>
                  <w:sz w:val="16"/>
                  <w:szCs w:val="16"/>
                </w:rPr>
                <w:t>https://www.dane.gov.co/index.php/estadisticas-por-tema/cuentas-nacionales/cuentas-nacionales-trimestrales/pib-informacion-tecnica</w:t>
              </w:r>
            </w:hyperlink>
            <w:r w:rsidRPr="00463436">
              <w:rPr>
                <w:rFonts w:ascii="Verdana" w:eastAsia="Times New Roman" w:hAnsi="Verdana" w:cs="Calibri"/>
                <w:color w:val="000000" w:themeColor="text1"/>
                <w:sz w:val="16"/>
                <w:szCs w:val="16"/>
                <w:lang w:eastAsia="es-CO"/>
              </w:rPr>
              <w:t xml:space="preserve">. </w:t>
            </w:r>
          </w:p>
          <w:p w14:paraId="30F86F97"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p>
          <w:p w14:paraId="45DDB258" w14:textId="1AA515D5"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3. IPC (Índice de Precios al Consumidor):</w:t>
            </w:r>
            <w:r w:rsidRPr="00463436">
              <w:rPr>
                <w:rFonts w:ascii="Verdana" w:eastAsia="Times New Roman" w:hAnsi="Verdana" w:cs="Calibri"/>
                <w:color w:val="000000" w:themeColor="text1"/>
                <w:sz w:val="16"/>
                <w:szCs w:val="16"/>
                <w:lang w:eastAsia="es-CO"/>
              </w:rPr>
              <w:t xml:space="preserve"> Variación mensual octubre 2025: 0,18%</w:t>
            </w:r>
          </w:p>
          <w:p w14:paraId="650FC68A"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técnico:</w:t>
            </w:r>
          </w:p>
          <w:p w14:paraId="29407D8B"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Mide la inflación desde el punto de vista del consumidor.</w:t>
            </w:r>
          </w:p>
          <w:p w14:paraId="2A1CF612"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Variación mensual baja, indica estabilidad de precios.</w:t>
            </w:r>
          </w:p>
          <w:p w14:paraId="3418C956"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lastRenderedPageBreak/>
              <w:t>Implicaciones económicas:</w:t>
            </w:r>
          </w:p>
          <w:p w14:paraId="35F0B5F2"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Control de inflación favorece poder adquisitivo.</w:t>
            </w:r>
          </w:p>
          <w:p w14:paraId="6E80C640"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Útil para ajustar contratos, salarios y subsidios.</w:t>
            </w:r>
          </w:p>
          <w:p w14:paraId="5D426E13"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Impacto social:</w:t>
            </w:r>
          </w:p>
          <w:p w14:paraId="5885AD3C"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Menor inflación reduce presión sobre hogares vulnerables.</w:t>
            </w:r>
          </w:p>
          <w:p w14:paraId="1B53CAF0" w14:textId="77777777" w:rsidR="0020648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Influye en percepción ciudadana sobre la economía.</w:t>
            </w:r>
          </w:p>
          <w:p w14:paraId="5719B23D" w14:textId="77777777" w:rsidR="00091EF7" w:rsidRPr="00463436" w:rsidRDefault="00091EF7" w:rsidP="00B33BCB">
            <w:pPr>
              <w:spacing w:after="0" w:line="240" w:lineRule="auto"/>
              <w:rPr>
                <w:rFonts w:ascii="Verdana" w:eastAsia="Times New Roman" w:hAnsi="Verdana" w:cs="Calibri"/>
                <w:color w:val="000000" w:themeColor="text1"/>
                <w:sz w:val="16"/>
                <w:szCs w:val="16"/>
                <w:lang w:eastAsia="es-CO"/>
              </w:rPr>
            </w:pPr>
          </w:p>
          <w:p w14:paraId="5EF214E9" w14:textId="032A18F7" w:rsidR="00091EF7" w:rsidRPr="00463436" w:rsidRDefault="00091EF7" w:rsidP="00463436">
            <w:pPr>
              <w:spacing w:after="0" w:line="240" w:lineRule="auto"/>
              <w:jc w:val="center"/>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drawing>
                <wp:inline distT="0" distB="0" distL="0" distR="0" wp14:anchorId="010C75CE" wp14:editId="407F6E57">
                  <wp:extent cx="3623945" cy="1660257"/>
                  <wp:effectExtent l="0" t="0" r="0" b="0"/>
                  <wp:docPr id="9498646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64637" name=""/>
                          <pic:cNvPicPr/>
                        </pic:nvPicPr>
                        <pic:blipFill>
                          <a:blip r:embed="rId16"/>
                          <a:stretch>
                            <a:fillRect/>
                          </a:stretch>
                        </pic:blipFill>
                        <pic:spPr>
                          <a:xfrm>
                            <a:off x="0" y="0"/>
                            <a:ext cx="3638643" cy="1666990"/>
                          </a:xfrm>
                          <a:prstGeom prst="rect">
                            <a:avLst/>
                          </a:prstGeom>
                        </pic:spPr>
                      </pic:pic>
                    </a:graphicData>
                  </a:graphic>
                </wp:inline>
              </w:drawing>
            </w:r>
          </w:p>
          <w:p w14:paraId="3A7FEBFE" w14:textId="77777777" w:rsidR="00EB42CB" w:rsidRPr="00463436" w:rsidRDefault="00EB42CB" w:rsidP="00EB42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En octubre de 2025 la variación mensual del IPC fue 0,18%, la variación año corrido fue 4,74% y la anual 5,51%.</w:t>
            </w:r>
          </w:p>
          <w:p w14:paraId="14394E5E" w14:textId="77777777" w:rsidR="00EB42CB" w:rsidRPr="00463436" w:rsidRDefault="00EB42CB" w:rsidP="00EB42CB">
            <w:pPr>
              <w:spacing w:after="0" w:line="240" w:lineRule="auto"/>
              <w:rPr>
                <w:rFonts w:ascii="Verdana" w:eastAsia="Times New Roman" w:hAnsi="Verdana" w:cs="Calibri"/>
                <w:color w:val="000000" w:themeColor="text1"/>
                <w:sz w:val="16"/>
                <w:szCs w:val="16"/>
                <w:lang w:eastAsia="es-CO"/>
              </w:rPr>
            </w:pPr>
          </w:p>
          <w:p w14:paraId="588D334F" w14:textId="77777777" w:rsidR="00EB42CB" w:rsidRPr="00463436" w:rsidRDefault="00EB42CB" w:rsidP="00EB42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En octubre de 2025 la variación anual del IPC fue 5,51%, es decir, 0,10 puntos porcentuales mayor que la reportada en el mismo periodo del año anterior, cuando fue de 5,41%.</w:t>
            </w:r>
          </w:p>
          <w:p w14:paraId="0D0B6513" w14:textId="77777777" w:rsidR="00EB42CB" w:rsidRPr="00463436" w:rsidRDefault="00EB42CB" w:rsidP="00EB42CB">
            <w:pPr>
              <w:spacing w:after="0" w:line="240" w:lineRule="auto"/>
              <w:rPr>
                <w:rFonts w:ascii="Verdana" w:eastAsia="Times New Roman" w:hAnsi="Verdana" w:cs="Calibri"/>
                <w:color w:val="000000" w:themeColor="text1"/>
                <w:sz w:val="16"/>
                <w:szCs w:val="16"/>
                <w:lang w:eastAsia="es-CO"/>
              </w:rPr>
            </w:pPr>
          </w:p>
          <w:p w14:paraId="3BF634D7" w14:textId="77777777" w:rsidR="00EB42CB" w:rsidRPr="00463436" w:rsidRDefault="00EB42CB" w:rsidP="00EB42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El comportamiento mensual del IPC total en octubre de 2025 (0,18%) se explicó principalmente por la variación mensual de las divisiones Alojamiento, agua, electricidad, gas y otros combustibles y Restaurantes y hoteles. Las mayores variaciones se presentaron en las divisiones Recreación y cultura (0,81%) y Salud (0,65%).</w:t>
            </w:r>
          </w:p>
          <w:p w14:paraId="6F55FF75" w14:textId="1643DBFF" w:rsidR="00EB42CB" w:rsidRPr="00463436" w:rsidRDefault="00EB42CB" w:rsidP="00EB42CB">
            <w:pPr>
              <w:spacing w:after="0" w:line="240" w:lineRule="auto"/>
              <w:rPr>
                <w:rFonts w:ascii="Verdana" w:eastAsia="Times New Roman" w:hAnsi="Verdana" w:cs="Calibri"/>
                <w:color w:val="000000" w:themeColor="text1"/>
                <w:sz w:val="16"/>
                <w:szCs w:val="16"/>
                <w:lang w:eastAsia="es-CO"/>
              </w:rPr>
            </w:pPr>
          </w:p>
          <w:p w14:paraId="6E650597" w14:textId="5363B8A8" w:rsidR="00ED355E" w:rsidRPr="00463436" w:rsidRDefault="00EB42CB" w:rsidP="00B33BCB">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Comportamiento de la variación mensual del IPC según divisiones y subclases</w:t>
            </w:r>
          </w:p>
          <w:p w14:paraId="2DBD045E" w14:textId="77777777" w:rsidR="00EB42CB" w:rsidRPr="00463436" w:rsidRDefault="00EB42CB" w:rsidP="00463436">
            <w:pPr>
              <w:spacing w:after="0" w:line="240" w:lineRule="auto"/>
              <w:rPr>
                <w:rFonts w:ascii="Verdana" w:eastAsia="Times New Roman" w:hAnsi="Verdana" w:cs="Calibri"/>
                <w:color w:val="000000" w:themeColor="text1"/>
                <w:sz w:val="16"/>
                <w:szCs w:val="16"/>
                <w:lang w:eastAsia="es-CO"/>
              </w:rPr>
            </w:pPr>
          </w:p>
          <w:p w14:paraId="789D217D" w14:textId="06F66DF0" w:rsidR="0020648B" w:rsidRPr="00463436" w:rsidRDefault="00EB42CB" w:rsidP="00463436">
            <w:pPr>
              <w:spacing w:after="0" w:line="240" w:lineRule="auto"/>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En el mes de octubre de 2025, el IPC registró una variación de 0,18% en comparación con septiembre de 2025, siete divisiones se ubicaron por encima del promedio nacional (0,18%): Recreación y cultura (0,81%), Salud (0,65%), Alojamiento, agua, electricidad, gas y otros combustibles (0,41%), Bienes y servicios diversos (0,38%), Bebidas alcohólicas y tabaco (0,37%), Restaurantes y hoteles (0,27%) </w:t>
            </w:r>
            <w:proofErr w:type="gramStart"/>
            <w:r w:rsidRPr="00463436">
              <w:rPr>
                <w:rFonts w:ascii="Verdana" w:eastAsia="Times New Roman" w:hAnsi="Verdana" w:cs="Calibri"/>
                <w:color w:val="000000" w:themeColor="text1"/>
                <w:sz w:val="16"/>
                <w:szCs w:val="16"/>
                <w:lang w:eastAsia="es-CO"/>
              </w:rPr>
              <w:t>y</w:t>
            </w:r>
            <w:proofErr w:type="gramEnd"/>
            <w:r w:rsidRPr="00463436">
              <w:rPr>
                <w:rFonts w:ascii="Verdana" w:eastAsia="Times New Roman" w:hAnsi="Verdana" w:cs="Calibri"/>
                <w:color w:val="000000" w:themeColor="text1"/>
                <w:sz w:val="16"/>
                <w:szCs w:val="16"/>
                <w:lang w:eastAsia="es-CO"/>
              </w:rPr>
              <w:t xml:space="preserve"> por último, Prendas de vestir y calzado (0,22%). Por debajo se ubicaron: Transporte (0,14%), Muebles, artículos para el hogar y para la conservación ordinaria del hogar (0,12%), Educación (0,06%), Información y comunicación (-0,02%) </w:t>
            </w:r>
            <w:proofErr w:type="gramStart"/>
            <w:r w:rsidRPr="00463436">
              <w:rPr>
                <w:rFonts w:ascii="Verdana" w:eastAsia="Times New Roman" w:hAnsi="Verdana" w:cs="Calibri"/>
                <w:color w:val="000000" w:themeColor="text1"/>
                <w:sz w:val="16"/>
                <w:szCs w:val="16"/>
                <w:lang w:eastAsia="es-CO"/>
              </w:rPr>
              <w:t>y</w:t>
            </w:r>
            <w:proofErr w:type="gramEnd"/>
            <w:r w:rsidRPr="00463436">
              <w:rPr>
                <w:rFonts w:ascii="Verdana" w:eastAsia="Times New Roman" w:hAnsi="Verdana" w:cs="Calibri"/>
                <w:color w:val="000000" w:themeColor="text1"/>
                <w:sz w:val="16"/>
                <w:szCs w:val="16"/>
                <w:lang w:eastAsia="es-CO"/>
              </w:rPr>
              <w:t xml:space="preserve"> por último, Alimentos y bebidas no alcohólicas (-0,35%).</w:t>
            </w:r>
          </w:p>
          <w:p w14:paraId="17C6C382" w14:textId="77777777" w:rsidR="00ED355E" w:rsidRPr="00463436" w:rsidRDefault="00ED355E" w:rsidP="00EB42CB">
            <w:pPr>
              <w:spacing w:after="0" w:line="240" w:lineRule="auto"/>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w:t>
            </w:r>
          </w:p>
          <w:p w14:paraId="0390BCB5" w14:textId="165A3468" w:rsidR="0012657A" w:rsidRPr="00463436" w:rsidRDefault="0012657A" w:rsidP="00463436">
            <w:pPr>
              <w:spacing w:after="0" w:line="240" w:lineRule="auto"/>
              <w:jc w:val="center"/>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drawing>
                <wp:inline distT="0" distB="0" distL="0" distR="0" wp14:anchorId="1D99270A" wp14:editId="6A4FBF1F">
                  <wp:extent cx="3478893" cy="1828800"/>
                  <wp:effectExtent l="0" t="0" r="7620" b="0"/>
                  <wp:docPr id="19774351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35104" name=""/>
                          <pic:cNvPicPr/>
                        </pic:nvPicPr>
                        <pic:blipFill>
                          <a:blip r:embed="rId17"/>
                          <a:stretch>
                            <a:fillRect/>
                          </a:stretch>
                        </pic:blipFill>
                        <pic:spPr>
                          <a:xfrm>
                            <a:off x="0" y="0"/>
                            <a:ext cx="3485241" cy="1832137"/>
                          </a:xfrm>
                          <a:prstGeom prst="rect">
                            <a:avLst/>
                          </a:prstGeom>
                        </pic:spPr>
                      </pic:pic>
                    </a:graphicData>
                  </a:graphic>
                </wp:inline>
              </w:drawing>
            </w:r>
          </w:p>
          <w:p w14:paraId="1F9E4174" w14:textId="77777777" w:rsidR="00ED355E" w:rsidRPr="00463436" w:rsidRDefault="00ED355E" w:rsidP="00B33BCB">
            <w:pPr>
              <w:spacing w:after="0" w:line="240" w:lineRule="auto"/>
              <w:rPr>
                <w:rFonts w:ascii="Verdana" w:eastAsia="Times New Roman" w:hAnsi="Verdana" w:cs="Calibri"/>
                <w:color w:val="000000" w:themeColor="text1"/>
                <w:sz w:val="16"/>
                <w:szCs w:val="16"/>
                <w:lang w:eastAsia="es-CO"/>
              </w:rPr>
            </w:pPr>
          </w:p>
          <w:p w14:paraId="3B6E389D" w14:textId="4E63A4D8" w:rsidR="0012657A" w:rsidRPr="00463436" w:rsidRDefault="0012657A"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Fuente: </w:t>
            </w:r>
            <w:hyperlink r:id="rId18" w:history="1">
              <w:r w:rsidRPr="00463436">
                <w:rPr>
                  <w:rFonts w:ascii="Verdana" w:hAnsi="Verdana"/>
                  <w:color w:val="000000" w:themeColor="text1"/>
                  <w:sz w:val="16"/>
                  <w:szCs w:val="16"/>
                </w:rPr>
                <w:t>https://www.dane.gov.co/index.php/estadisticas-por-tema/precios-y-costos/indice-de-precios-al-consumidor-ipc/ipc-informacion-tecnica</w:t>
              </w:r>
            </w:hyperlink>
            <w:r w:rsidRPr="00463436">
              <w:rPr>
                <w:rFonts w:ascii="Verdana" w:eastAsia="Times New Roman" w:hAnsi="Verdana" w:cs="Calibri"/>
                <w:color w:val="000000" w:themeColor="text1"/>
                <w:sz w:val="16"/>
                <w:szCs w:val="16"/>
                <w:lang w:eastAsia="es-CO"/>
              </w:rPr>
              <w:t xml:space="preserve">. </w:t>
            </w:r>
          </w:p>
          <w:p w14:paraId="1CA2B29B" w14:textId="77777777" w:rsidR="0012657A" w:rsidRPr="00463436" w:rsidRDefault="0012657A" w:rsidP="00463436">
            <w:pPr>
              <w:spacing w:after="0" w:line="240" w:lineRule="auto"/>
              <w:rPr>
                <w:rFonts w:ascii="Verdana" w:eastAsia="Times New Roman" w:hAnsi="Verdana" w:cs="Calibri"/>
                <w:color w:val="000000" w:themeColor="text1"/>
                <w:sz w:val="16"/>
                <w:szCs w:val="16"/>
                <w:lang w:eastAsia="es-CO"/>
              </w:rPr>
            </w:pPr>
          </w:p>
          <w:p w14:paraId="3F1AC37A" w14:textId="30C94653"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4. IPP (Índice de Precios al Productor):</w:t>
            </w:r>
            <w:r w:rsidRPr="00463436">
              <w:rPr>
                <w:rFonts w:ascii="Verdana" w:eastAsia="Times New Roman" w:hAnsi="Verdana" w:cs="Calibri"/>
                <w:color w:val="000000" w:themeColor="text1"/>
                <w:sz w:val="16"/>
                <w:szCs w:val="16"/>
                <w:lang w:eastAsia="es-CO"/>
              </w:rPr>
              <w:t xml:space="preserve"> Variación mensual octubre 2025: -0,69%</w:t>
            </w:r>
          </w:p>
          <w:p w14:paraId="00C9FDF5"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técnico:</w:t>
            </w:r>
          </w:p>
          <w:p w14:paraId="6020634A"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Mide variación de precios en etapa productiva.</w:t>
            </w:r>
          </w:p>
          <w:p w14:paraId="558DEC11"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Disminución mensual sugiere reducción de costos para productores.</w:t>
            </w:r>
          </w:p>
          <w:p w14:paraId="40A639D8"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Implicaciones económicas:</w:t>
            </w:r>
          </w:p>
          <w:p w14:paraId="4405DC00"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Puede anticipar baja en precios al consumidor.</w:t>
            </w:r>
          </w:p>
          <w:p w14:paraId="2FD5BF3F"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Beneficia márgenes de empresas, especialmente en manufactura.</w:t>
            </w:r>
          </w:p>
          <w:p w14:paraId="3616A629"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Impacto social:</w:t>
            </w:r>
          </w:p>
          <w:p w14:paraId="1DF1374E"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Posible efecto positivo en precios finales.</w:t>
            </w:r>
          </w:p>
          <w:p w14:paraId="49E37EF5" w14:textId="77777777" w:rsidR="0020648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Incentiva producción nacional si se mantiene la tendencia.</w:t>
            </w:r>
          </w:p>
          <w:p w14:paraId="70961B27" w14:textId="77777777" w:rsidR="0012657A" w:rsidRPr="00463436" w:rsidRDefault="0012657A" w:rsidP="00B33BCB">
            <w:pPr>
              <w:spacing w:after="0" w:line="240" w:lineRule="auto"/>
              <w:rPr>
                <w:rFonts w:ascii="Verdana" w:eastAsia="Times New Roman" w:hAnsi="Verdana" w:cs="Calibri"/>
                <w:color w:val="000000" w:themeColor="text1"/>
                <w:sz w:val="16"/>
                <w:szCs w:val="16"/>
                <w:lang w:eastAsia="es-CO"/>
              </w:rPr>
            </w:pPr>
          </w:p>
          <w:p w14:paraId="6BEE24E2" w14:textId="58604C79" w:rsidR="0012657A" w:rsidRPr="00463436" w:rsidRDefault="0012657A"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En octubre de 2025, el único sector que registró una variación inferior a la media fue Explotación de minas y canteras con -4,85%. Los sectores de Agricultura, ganadería, silvicultura, caza y pesca (-0,51%) e Industrias manufactureras (0,09%) presentaron variaciones superiores a la media (-0,69%).</w:t>
            </w:r>
          </w:p>
          <w:p w14:paraId="65E58253" w14:textId="77777777" w:rsidR="0012657A" w:rsidRPr="00463436" w:rsidRDefault="0012657A" w:rsidP="00B33BCB">
            <w:pPr>
              <w:spacing w:after="0" w:line="240" w:lineRule="auto"/>
              <w:rPr>
                <w:rFonts w:ascii="Verdana" w:eastAsia="Times New Roman" w:hAnsi="Verdana" w:cs="Calibri"/>
                <w:color w:val="000000" w:themeColor="text1"/>
                <w:sz w:val="16"/>
                <w:szCs w:val="16"/>
                <w:lang w:eastAsia="es-CO"/>
              </w:rPr>
            </w:pPr>
          </w:p>
          <w:p w14:paraId="2F3D64AB" w14:textId="6EF6D229" w:rsidR="0012657A" w:rsidRPr="00463436" w:rsidRDefault="0012657A" w:rsidP="00A71A90">
            <w:pPr>
              <w:spacing w:after="0" w:line="240" w:lineRule="auto"/>
              <w:jc w:val="center"/>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drawing>
                <wp:inline distT="0" distB="0" distL="0" distR="0" wp14:anchorId="0DE95FBD" wp14:editId="42936DDD">
                  <wp:extent cx="3623296" cy="2472926"/>
                  <wp:effectExtent l="0" t="0" r="0" b="3810"/>
                  <wp:docPr id="2078825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25611" name=""/>
                          <pic:cNvPicPr/>
                        </pic:nvPicPr>
                        <pic:blipFill>
                          <a:blip r:embed="rId19"/>
                          <a:stretch>
                            <a:fillRect/>
                          </a:stretch>
                        </pic:blipFill>
                        <pic:spPr>
                          <a:xfrm>
                            <a:off x="0" y="0"/>
                            <a:ext cx="3631917" cy="2478810"/>
                          </a:xfrm>
                          <a:prstGeom prst="rect">
                            <a:avLst/>
                          </a:prstGeom>
                        </pic:spPr>
                      </pic:pic>
                    </a:graphicData>
                  </a:graphic>
                </wp:inline>
              </w:drawing>
            </w:r>
          </w:p>
          <w:p w14:paraId="68DEDDBA" w14:textId="77777777" w:rsidR="00B33BCB" w:rsidRPr="00463436" w:rsidRDefault="00B33BCB" w:rsidP="00B33BCB">
            <w:pPr>
              <w:spacing w:after="0" w:line="240" w:lineRule="auto"/>
              <w:rPr>
                <w:rFonts w:ascii="Verdana" w:eastAsia="Times New Roman" w:hAnsi="Verdana" w:cs="Calibri"/>
                <w:color w:val="000000" w:themeColor="text1"/>
                <w:sz w:val="16"/>
                <w:szCs w:val="16"/>
                <w:lang w:eastAsia="es-CO"/>
              </w:rPr>
            </w:pPr>
          </w:p>
          <w:p w14:paraId="34F24FBA" w14:textId="45EBAC76" w:rsidR="0012657A" w:rsidRPr="00463436" w:rsidRDefault="0012657A"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Fuente: </w:t>
            </w:r>
            <w:hyperlink r:id="rId20" w:history="1">
              <w:r w:rsidRPr="00463436">
                <w:rPr>
                  <w:rFonts w:ascii="Verdana" w:hAnsi="Verdana"/>
                  <w:color w:val="000000" w:themeColor="text1"/>
                  <w:sz w:val="16"/>
                  <w:szCs w:val="16"/>
                </w:rPr>
                <w:t>https://www.dane.gov.co/index.php/estadisticas-por-tema/precios-y-costos/indice-de-precios-del-productor-ipp</w:t>
              </w:r>
            </w:hyperlink>
          </w:p>
          <w:p w14:paraId="45807C61" w14:textId="77777777" w:rsidR="00394B9A" w:rsidRPr="00463436" w:rsidRDefault="00394B9A" w:rsidP="00B33BCB">
            <w:pPr>
              <w:spacing w:after="0" w:line="240" w:lineRule="auto"/>
              <w:rPr>
                <w:rFonts w:ascii="Verdana" w:eastAsia="Times New Roman" w:hAnsi="Verdana" w:cs="Calibri"/>
                <w:color w:val="000000" w:themeColor="text1"/>
                <w:sz w:val="16"/>
                <w:szCs w:val="16"/>
                <w:lang w:eastAsia="es-CO"/>
              </w:rPr>
            </w:pPr>
          </w:p>
          <w:p w14:paraId="0CFDAD3D" w14:textId="77777777" w:rsidR="0012657A" w:rsidRPr="00463436" w:rsidRDefault="0012657A" w:rsidP="00B33BCB">
            <w:pPr>
              <w:spacing w:after="0" w:line="240" w:lineRule="auto"/>
              <w:rPr>
                <w:rFonts w:ascii="Verdana" w:eastAsia="Times New Roman" w:hAnsi="Verdana" w:cs="Calibri"/>
                <w:color w:val="000000" w:themeColor="text1"/>
                <w:sz w:val="16"/>
                <w:szCs w:val="16"/>
                <w:lang w:eastAsia="es-CO"/>
              </w:rPr>
            </w:pPr>
          </w:p>
          <w:p w14:paraId="4F890148" w14:textId="5E3E558F" w:rsidR="0020648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5. Tasa de ocupación:</w:t>
            </w:r>
            <w:r w:rsidRPr="00463436">
              <w:rPr>
                <w:rFonts w:ascii="Verdana" w:eastAsia="Times New Roman" w:hAnsi="Verdana" w:cs="Calibri"/>
                <w:color w:val="000000" w:themeColor="text1"/>
                <w:sz w:val="16"/>
                <w:szCs w:val="16"/>
                <w:lang w:eastAsia="es-CO"/>
              </w:rPr>
              <w:t xml:space="preserve"> Total nacional septiembre 2025: 8,2%</w:t>
            </w:r>
          </w:p>
          <w:p w14:paraId="59FEC479" w14:textId="77777777" w:rsidR="00B33BCB" w:rsidRPr="00463436" w:rsidRDefault="00B33BCB" w:rsidP="00463436">
            <w:pPr>
              <w:spacing w:after="0" w:line="240" w:lineRule="auto"/>
              <w:rPr>
                <w:rFonts w:ascii="Verdana" w:eastAsia="Times New Roman" w:hAnsi="Verdana" w:cs="Calibri"/>
                <w:color w:val="000000" w:themeColor="text1"/>
                <w:sz w:val="16"/>
                <w:szCs w:val="16"/>
                <w:lang w:eastAsia="es-CO"/>
              </w:rPr>
            </w:pPr>
          </w:p>
          <w:p w14:paraId="5602FCA6"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técnico:</w:t>
            </w:r>
          </w:p>
          <w:p w14:paraId="4BA34FCF"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Indicador de personas activas sin empleo.</w:t>
            </w:r>
          </w:p>
          <w:p w14:paraId="53399A6E"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Nivel moderado, pero aún representa desafíos estructurales.</w:t>
            </w:r>
          </w:p>
          <w:p w14:paraId="63E64CD1"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Implicaciones económicas:</w:t>
            </w:r>
          </w:p>
          <w:p w14:paraId="151DEC7C"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Afecta consumo, recaudo fiscal y estabilidad social.</w:t>
            </w:r>
          </w:p>
          <w:p w14:paraId="3805FC82"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Relevante para políticas de empleo y formación laboral.</w:t>
            </w:r>
          </w:p>
          <w:p w14:paraId="58B4C830"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Impacto social:</w:t>
            </w:r>
          </w:p>
          <w:p w14:paraId="2A70C5C9"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Incide en calidad de vida, pobreza y migración laboral.</w:t>
            </w:r>
          </w:p>
          <w:p w14:paraId="10EEEF44" w14:textId="77777777" w:rsidR="00B33BC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Prioridad para programas de inclusión y emprendimiento</w:t>
            </w:r>
          </w:p>
          <w:p w14:paraId="030D10FA" w14:textId="77777777"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p>
          <w:p w14:paraId="490103F0" w14:textId="77777777" w:rsidR="003317CD" w:rsidRPr="00463436" w:rsidRDefault="003317CD" w:rsidP="00463436">
            <w:pPr>
              <w:spacing w:after="0" w:line="240" w:lineRule="auto"/>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Para el mes de septiembre de 2025, la tasa de desocupación del total nacional fue 8,2%, lo que representó una disminución de 1,0 puntos porcentuales respecto al mismo mes de 2024 (9,1%). La tasa global de participación se ubicó en 63,9%, mientras que en septiembre de 2024 fue 63,5%. Finalmente, la tasa de ocupación fue 58,7%, lo que representó un aumento de 1,0 puntos porcentuales respecto al mismo mes del año anterior (57,7%).</w:t>
            </w:r>
          </w:p>
          <w:p w14:paraId="4700DC30" w14:textId="77777777" w:rsidR="003317CD" w:rsidRPr="00463436" w:rsidRDefault="003317CD" w:rsidP="003317CD">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w:t>
            </w:r>
          </w:p>
          <w:p w14:paraId="69E97C9A" w14:textId="2DE8D0F8" w:rsidR="003317CD" w:rsidRPr="00463436" w:rsidRDefault="003317CD" w:rsidP="00463436">
            <w:pPr>
              <w:spacing w:after="0" w:line="240" w:lineRule="auto"/>
              <w:jc w:val="center"/>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lastRenderedPageBreak/>
              <w:drawing>
                <wp:inline distT="0" distB="0" distL="0" distR="0" wp14:anchorId="57A593A2" wp14:editId="2EC1BCFB">
                  <wp:extent cx="3603607" cy="1638300"/>
                  <wp:effectExtent l="0" t="0" r="0" b="0"/>
                  <wp:docPr id="1385038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38903" name=""/>
                          <pic:cNvPicPr/>
                        </pic:nvPicPr>
                        <pic:blipFill>
                          <a:blip r:embed="rId21"/>
                          <a:stretch>
                            <a:fillRect/>
                          </a:stretch>
                        </pic:blipFill>
                        <pic:spPr>
                          <a:xfrm>
                            <a:off x="0" y="0"/>
                            <a:ext cx="3619365" cy="1645464"/>
                          </a:xfrm>
                          <a:prstGeom prst="rect">
                            <a:avLst/>
                          </a:prstGeom>
                        </pic:spPr>
                      </pic:pic>
                    </a:graphicData>
                  </a:graphic>
                </wp:inline>
              </w:drawing>
            </w:r>
          </w:p>
          <w:p w14:paraId="440AE735" w14:textId="77777777"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p>
          <w:p w14:paraId="30399935" w14:textId="77777777"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p>
          <w:p w14:paraId="7CE01A9F" w14:textId="77777777"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Población ocupada según rama de actividad, mes septiembre 2025</w:t>
            </w:r>
          </w:p>
          <w:p w14:paraId="4FB18074" w14:textId="77777777"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p>
          <w:p w14:paraId="2F0A3890" w14:textId="1E033A4B"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En el mes de septiembre de 2025, el número de personas ocupadas en el total nacional fue 23.927 miles de personas. Las ramas que más aportaron positivamente a la variación de la población ocupada fueron Industrias manufactureras (1,1 puntos porcentuales); Administración pública y defensa, educación y atención de la salud humana (0,8 puntos porcentuales) y Alojamiento y servicios de comida (0,7 puntos porcentuales).</w:t>
            </w:r>
          </w:p>
          <w:p w14:paraId="7C44201B" w14:textId="77777777"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p>
          <w:p w14:paraId="44F47BD7" w14:textId="5EDD433E" w:rsidR="003317CD" w:rsidRPr="00463436" w:rsidRDefault="003317CD" w:rsidP="00463436">
            <w:pPr>
              <w:spacing w:after="0" w:line="240" w:lineRule="auto"/>
              <w:jc w:val="center"/>
              <w:rPr>
                <w:rFonts w:ascii="Verdana" w:eastAsia="Times New Roman" w:hAnsi="Verdana" w:cs="Calibri"/>
                <w:color w:val="000000" w:themeColor="text1"/>
                <w:sz w:val="16"/>
                <w:szCs w:val="16"/>
                <w:lang w:eastAsia="es-CO"/>
              </w:rPr>
            </w:pPr>
            <w:r w:rsidRPr="00463436">
              <w:rPr>
                <w:rFonts w:ascii="Verdana" w:eastAsia="Times New Roman" w:hAnsi="Verdana" w:cs="Calibri"/>
                <w:noProof/>
                <w:color w:val="000000" w:themeColor="text1"/>
                <w:sz w:val="16"/>
                <w:szCs w:val="16"/>
                <w:lang w:eastAsia="es-CO"/>
              </w:rPr>
              <w:drawing>
                <wp:inline distT="0" distB="0" distL="0" distR="0" wp14:anchorId="69697DAF" wp14:editId="53C8F29A">
                  <wp:extent cx="3696830" cy="2316480"/>
                  <wp:effectExtent l="0" t="0" r="0" b="7620"/>
                  <wp:docPr id="1455565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65824" name=""/>
                          <pic:cNvPicPr/>
                        </pic:nvPicPr>
                        <pic:blipFill>
                          <a:blip r:embed="rId22"/>
                          <a:stretch>
                            <a:fillRect/>
                          </a:stretch>
                        </pic:blipFill>
                        <pic:spPr>
                          <a:xfrm>
                            <a:off x="0" y="0"/>
                            <a:ext cx="3700926" cy="2319046"/>
                          </a:xfrm>
                          <a:prstGeom prst="rect">
                            <a:avLst/>
                          </a:prstGeom>
                        </pic:spPr>
                      </pic:pic>
                    </a:graphicData>
                  </a:graphic>
                </wp:inline>
              </w:drawing>
            </w:r>
          </w:p>
          <w:p w14:paraId="7AA0EB4D" w14:textId="77777777" w:rsidR="003317CD" w:rsidRPr="00463436" w:rsidRDefault="003317CD" w:rsidP="00B33BCB">
            <w:pPr>
              <w:spacing w:after="0" w:line="240" w:lineRule="auto"/>
              <w:rPr>
                <w:rFonts w:ascii="Verdana" w:eastAsia="Times New Roman" w:hAnsi="Verdana" w:cs="Calibri"/>
                <w:b/>
                <w:bCs/>
                <w:color w:val="000000" w:themeColor="text1"/>
                <w:sz w:val="16"/>
                <w:szCs w:val="16"/>
                <w:lang w:eastAsia="es-CO"/>
              </w:rPr>
            </w:pPr>
          </w:p>
          <w:p w14:paraId="2AEC0668" w14:textId="7E9DBA08" w:rsidR="003317CD" w:rsidRPr="00463436" w:rsidRDefault="0020648B" w:rsidP="00B33BCB">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6. Tasa de ocupación: Total nacional septiembre 2025: 58,7%</w:t>
            </w:r>
          </w:p>
          <w:p w14:paraId="31D453BB" w14:textId="77777777" w:rsidR="00B33BCB" w:rsidRPr="00463436" w:rsidRDefault="00B33BCB" w:rsidP="00463436">
            <w:pPr>
              <w:spacing w:after="0" w:line="240" w:lineRule="auto"/>
              <w:rPr>
                <w:rFonts w:ascii="Verdana" w:eastAsia="Times New Roman" w:hAnsi="Verdana" w:cs="Calibri"/>
                <w:color w:val="000000" w:themeColor="text1"/>
                <w:sz w:val="16"/>
                <w:szCs w:val="16"/>
                <w:lang w:eastAsia="es-CO"/>
              </w:rPr>
            </w:pPr>
          </w:p>
          <w:p w14:paraId="44F69EA8" w14:textId="2807F3BA" w:rsidR="00B33BC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técnico:</w:t>
            </w:r>
          </w:p>
          <w:p w14:paraId="27469FC7"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Proporción de población en edad laboral que está empleada.</w:t>
            </w:r>
          </w:p>
          <w:p w14:paraId="5B6C6012"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Complementa la tasa de desocupación para entender el mercado laboral.</w:t>
            </w:r>
          </w:p>
          <w:p w14:paraId="67AE7704"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Implicaciones económicas:</w:t>
            </w:r>
          </w:p>
          <w:p w14:paraId="2B18C48C"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Alta ocupación dinamiza la economía.</w:t>
            </w:r>
          </w:p>
          <w:p w14:paraId="7038FE81"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Útil para evaluar impacto de políticas laborales.</w:t>
            </w:r>
          </w:p>
          <w:p w14:paraId="55889E49" w14:textId="77777777" w:rsidR="0020648B" w:rsidRPr="00463436" w:rsidRDefault="0020648B" w:rsidP="00463436">
            <w:pPr>
              <w:spacing w:after="0" w:line="240" w:lineRule="auto"/>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Impacto social:</w:t>
            </w:r>
          </w:p>
          <w:p w14:paraId="752D476F" w14:textId="77777777" w:rsidR="0020648B" w:rsidRPr="00463436" w:rsidRDefault="0020648B" w:rsidP="00463436">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Refleja capacidad de absorción del mercado laboral.</w:t>
            </w:r>
          </w:p>
          <w:p w14:paraId="651A6342" w14:textId="77777777" w:rsidR="0020648B" w:rsidRPr="00463436" w:rsidRDefault="0020648B"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Mejora bienestar si se acompaña de empleos formales y dignos.</w:t>
            </w:r>
          </w:p>
          <w:p w14:paraId="763D0DE1" w14:textId="77777777"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p>
          <w:p w14:paraId="384E5B56" w14:textId="75F7B4FC" w:rsidR="003317CD" w:rsidRPr="00463436" w:rsidRDefault="003317CD"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Para el mes de septiembre de 2025, la tasa de desocupación del total nacional fue 8,2%, lo que representó una disminución de 1,0 puntos porcentuales respecto al mismo mes de 2024 (9,1%). La tasa global de participación se ubicó en 63,9%, mientras que en septiembre de 2024 fue 63,5%. Finalmente, la tasa de ocupación fue 58,7%, lo que representó un aumento de 1,0 puntos porcentuales respecto al mismo mes del año anterior (57,7%).</w:t>
            </w:r>
          </w:p>
          <w:p w14:paraId="5F0668E2" w14:textId="77777777" w:rsidR="00E6460E" w:rsidRPr="00463436" w:rsidRDefault="00E6460E" w:rsidP="00B33BCB">
            <w:pPr>
              <w:spacing w:after="0" w:line="240" w:lineRule="auto"/>
              <w:rPr>
                <w:rFonts w:ascii="Verdana" w:eastAsia="Times New Roman" w:hAnsi="Verdana" w:cs="Calibri"/>
                <w:color w:val="000000" w:themeColor="text1"/>
                <w:sz w:val="16"/>
                <w:szCs w:val="16"/>
                <w:lang w:eastAsia="es-CO"/>
              </w:rPr>
            </w:pPr>
          </w:p>
          <w:p w14:paraId="0BE7970C" w14:textId="77777777" w:rsidR="00E6460E" w:rsidRPr="00463436" w:rsidRDefault="00E6460E" w:rsidP="00B33BCB">
            <w:pPr>
              <w:spacing w:after="0" w:line="240" w:lineRule="auto"/>
              <w:rPr>
                <w:rFonts w:ascii="Verdana" w:eastAsia="Times New Roman" w:hAnsi="Verdana" w:cs="Calibri"/>
                <w:color w:val="000000" w:themeColor="text1"/>
                <w:sz w:val="16"/>
                <w:szCs w:val="16"/>
                <w:lang w:eastAsia="es-CO"/>
              </w:rPr>
            </w:pPr>
          </w:p>
          <w:p w14:paraId="767357A6" w14:textId="6C5E88D8" w:rsidR="00C463D6" w:rsidRPr="00463436" w:rsidRDefault="00CD49A7" w:rsidP="00B33BCB">
            <w:pPr>
              <w:spacing w:after="0" w:line="240" w:lineRule="auto"/>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Fuente: </w:t>
            </w:r>
            <w:hyperlink r:id="rId23" w:history="1">
              <w:r w:rsidRPr="00463436">
                <w:rPr>
                  <w:rStyle w:val="Hyperlink"/>
                  <w:rFonts w:ascii="Verdana" w:eastAsia="Times New Roman" w:hAnsi="Verdana" w:cs="Calibri"/>
                  <w:sz w:val="16"/>
                  <w:szCs w:val="16"/>
                  <w:lang w:eastAsia="es-CO"/>
                </w:rPr>
                <w:t>https://www.dane.gov.co/index.php/estadisticas-por-tema/mercado-laboral/empleo-y-desempleo</w:t>
              </w:r>
            </w:hyperlink>
            <w:r w:rsidRPr="00463436">
              <w:rPr>
                <w:rFonts w:ascii="Verdana" w:eastAsia="Times New Roman" w:hAnsi="Verdana" w:cs="Calibri"/>
                <w:color w:val="000000" w:themeColor="text1"/>
                <w:sz w:val="16"/>
                <w:szCs w:val="16"/>
                <w:lang w:eastAsia="es-CO"/>
              </w:rPr>
              <w:t xml:space="preserve">. </w:t>
            </w:r>
          </w:p>
          <w:p w14:paraId="377DC089" w14:textId="77777777" w:rsidR="00CD49A7" w:rsidRPr="00463436" w:rsidRDefault="00CD49A7" w:rsidP="00B33BCB">
            <w:pPr>
              <w:spacing w:after="0" w:line="240" w:lineRule="auto"/>
              <w:rPr>
                <w:rFonts w:ascii="Verdana" w:eastAsia="Times New Roman" w:hAnsi="Verdana" w:cs="Calibri"/>
                <w:color w:val="000000" w:themeColor="text1"/>
                <w:sz w:val="16"/>
                <w:szCs w:val="16"/>
                <w:lang w:eastAsia="es-CO"/>
              </w:rPr>
            </w:pPr>
          </w:p>
          <w:p w14:paraId="14F72C77" w14:textId="44FBA96E" w:rsidR="00E6460E" w:rsidRPr="00463436" w:rsidRDefault="00E6460E" w:rsidP="00E6460E">
            <w:pPr>
              <w:tabs>
                <w:tab w:val="left" w:pos="8364"/>
              </w:tabs>
              <w:ind w:right="-142"/>
              <w:jc w:val="both"/>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Histórico de la variación nominal del salario mínimo e inflación 1993-2025</w:t>
            </w:r>
          </w:p>
          <w:p w14:paraId="45868833" w14:textId="7862C557" w:rsidR="00E6460E" w:rsidRPr="00463436" w:rsidRDefault="00E6460E" w:rsidP="00E6460E">
            <w:pPr>
              <w:tabs>
                <w:tab w:val="left" w:pos="8364"/>
              </w:tabs>
              <w:ind w:right="-142"/>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La inflación es un proceso económico que se da por un desequilibrio entre la producción y la demanda, lo cual ocasiona un aumento continuado del precio de los productos o servicios y una pérdida del valor del dinero para poder adquirirlos. Este indicador en Colombia se mide por medio del índice de precios al consumidor –IPC–.</w:t>
            </w:r>
          </w:p>
          <w:p w14:paraId="5BA008F6" w14:textId="4BCCF62B" w:rsidR="00E6460E" w:rsidRPr="00463436" w:rsidRDefault="00E6460E" w:rsidP="00E6460E">
            <w:pPr>
              <w:tabs>
                <w:tab w:val="left" w:pos="8364"/>
              </w:tabs>
              <w:ind w:right="-142"/>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Por su parte, la finalidad principal de aumentar el salario mínimo mensual legal vigente –SMMLV– cada año es evitar que el trabajador se vea afectado por la inflación, razón por la cual el Gobierno nacional debe procurar que dicho aumento pueda contrarrestarle a un empleado la pérdida de poder adquisitivo a raíz de este fenómeno.</w:t>
            </w:r>
          </w:p>
          <w:p w14:paraId="6B35CD6D" w14:textId="0DEAA34D" w:rsidR="00E6460E" w:rsidRPr="00463436" w:rsidRDefault="00E6460E" w:rsidP="00E6460E">
            <w:pPr>
              <w:tabs>
                <w:tab w:val="left" w:pos="8364"/>
              </w:tabs>
              <w:ind w:right="-142"/>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Por esa razón, si el incremento del SMMLV se encuentra por encima de la inflación, se considera que existió un incremento real en el poder adquisitivo del empleado. Por el contrario, si se encuentra por debajo, se considera que no hubo un incremento real en el </w:t>
            </w:r>
            <w:hyperlink r:id="rId24" w:history="1">
              <w:r w:rsidRPr="00463436">
                <w:rPr>
                  <w:rFonts w:ascii="Verdana" w:eastAsia="Times New Roman" w:hAnsi="Verdana" w:cs="Calibri"/>
                  <w:color w:val="000000" w:themeColor="text1"/>
                  <w:sz w:val="16"/>
                  <w:szCs w:val="16"/>
                  <w:lang w:eastAsia="es-CO"/>
                </w:rPr>
                <w:t>salario percibido por el trabajador</w:t>
              </w:r>
            </w:hyperlink>
            <w:r w:rsidRPr="00463436">
              <w:rPr>
                <w:rFonts w:ascii="Verdana" w:eastAsia="Times New Roman" w:hAnsi="Verdana" w:cs="Calibri"/>
                <w:color w:val="000000" w:themeColor="text1"/>
                <w:sz w:val="16"/>
                <w:szCs w:val="16"/>
                <w:lang w:eastAsia="es-CO"/>
              </w:rPr>
              <w:t>.</w:t>
            </w:r>
          </w:p>
          <w:p w14:paraId="0A16B0D5" w14:textId="77777777" w:rsidR="00E6460E" w:rsidRPr="00463436" w:rsidRDefault="00E6460E" w:rsidP="00E6460E">
            <w:pPr>
              <w:pStyle w:val="ListParagraph"/>
              <w:numPr>
                <w:ilvl w:val="0"/>
                <w:numId w:val="14"/>
              </w:numPr>
              <w:tabs>
                <w:tab w:val="left" w:pos="8364"/>
              </w:tabs>
              <w:spacing w:after="0" w:line="240" w:lineRule="auto"/>
              <w:ind w:right="-142"/>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El incremento nominal del salario es igual al </w:t>
            </w:r>
            <w:proofErr w:type="spellStart"/>
            <w:r w:rsidRPr="00463436">
              <w:rPr>
                <w:rFonts w:ascii="Verdana" w:eastAsia="Times New Roman" w:hAnsi="Verdana" w:cs="Calibri"/>
                <w:color w:val="000000" w:themeColor="text1"/>
                <w:sz w:val="16"/>
                <w:szCs w:val="16"/>
                <w:lang w:eastAsia="es-CO"/>
              </w:rPr>
              <w:t>smmlv</w:t>
            </w:r>
            <w:proofErr w:type="spellEnd"/>
            <w:r w:rsidRPr="00463436">
              <w:rPr>
                <w:rFonts w:ascii="Verdana" w:eastAsia="Times New Roman" w:hAnsi="Verdana" w:cs="Calibri"/>
                <w:color w:val="000000" w:themeColor="text1"/>
                <w:sz w:val="16"/>
                <w:szCs w:val="16"/>
                <w:lang w:eastAsia="es-CO"/>
              </w:rPr>
              <w:t xml:space="preserve"> del año actual sobre el </w:t>
            </w:r>
            <w:proofErr w:type="spellStart"/>
            <w:r w:rsidRPr="00463436">
              <w:rPr>
                <w:rFonts w:ascii="Verdana" w:eastAsia="Times New Roman" w:hAnsi="Verdana" w:cs="Calibri"/>
                <w:color w:val="000000" w:themeColor="text1"/>
                <w:sz w:val="16"/>
                <w:szCs w:val="16"/>
                <w:lang w:eastAsia="es-CO"/>
              </w:rPr>
              <w:t>smmlv</w:t>
            </w:r>
            <w:proofErr w:type="spellEnd"/>
            <w:r w:rsidRPr="00463436">
              <w:rPr>
                <w:rFonts w:ascii="Verdana" w:eastAsia="Times New Roman" w:hAnsi="Verdana" w:cs="Calibri"/>
                <w:color w:val="000000" w:themeColor="text1"/>
                <w:sz w:val="16"/>
                <w:szCs w:val="16"/>
                <w:lang w:eastAsia="es-CO"/>
              </w:rPr>
              <w:t xml:space="preserve"> del año anterior menos el 100 %. Por ejemplo, en 2025 el incremento nominal del </w:t>
            </w:r>
            <w:proofErr w:type="spellStart"/>
            <w:r w:rsidRPr="00463436">
              <w:rPr>
                <w:rFonts w:ascii="Verdana" w:eastAsia="Times New Roman" w:hAnsi="Verdana" w:cs="Calibri"/>
                <w:color w:val="000000" w:themeColor="text1"/>
                <w:sz w:val="16"/>
                <w:szCs w:val="16"/>
                <w:lang w:eastAsia="es-CO"/>
              </w:rPr>
              <w:t>smmlv</w:t>
            </w:r>
            <w:proofErr w:type="spellEnd"/>
            <w:r w:rsidRPr="00463436">
              <w:rPr>
                <w:rFonts w:ascii="Verdana" w:eastAsia="Times New Roman" w:hAnsi="Verdana" w:cs="Calibri"/>
                <w:color w:val="000000" w:themeColor="text1"/>
                <w:sz w:val="16"/>
                <w:szCs w:val="16"/>
                <w:lang w:eastAsia="es-CO"/>
              </w:rPr>
              <w:t xml:space="preserve"> es: ($1.423.500 / $1.300.000) – 100 % = 9,50 %.</w:t>
            </w:r>
          </w:p>
          <w:p w14:paraId="238A93F4" w14:textId="77777777" w:rsidR="00E6460E" w:rsidRPr="00463436" w:rsidRDefault="00E6460E" w:rsidP="00E6460E">
            <w:pPr>
              <w:pStyle w:val="ListParagraph"/>
              <w:numPr>
                <w:ilvl w:val="0"/>
                <w:numId w:val="14"/>
              </w:numPr>
              <w:tabs>
                <w:tab w:val="left" w:pos="8364"/>
              </w:tabs>
              <w:spacing w:after="0" w:line="240" w:lineRule="auto"/>
              <w:ind w:right="-142"/>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La inflación causada del año anterior corresponde al IPC certificado por el </w:t>
            </w:r>
            <w:proofErr w:type="spellStart"/>
            <w:r w:rsidRPr="00463436">
              <w:rPr>
                <w:rFonts w:ascii="Verdana" w:eastAsia="Times New Roman" w:hAnsi="Verdana" w:cs="Calibri"/>
                <w:color w:val="000000" w:themeColor="text1"/>
                <w:sz w:val="16"/>
                <w:szCs w:val="16"/>
                <w:lang w:eastAsia="es-CO"/>
              </w:rPr>
              <w:t>Dane</w:t>
            </w:r>
            <w:proofErr w:type="spellEnd"/>
            <w:r w:rsidRPr="00463436">
              <w:rPr>
                <w:rFonts w:ascii="Verdana" w:eastAsia="Times New Roman" w:hAnsi="Verdana" w:cs="Calibri"/>
                <w:color w:val="000000" w:themeColor="text1"/>
                <w:sz w:val="16"/>
                <w:szCs w:val="16"/>
                <w:lang w:eastAsia="es-CO"/>
              </w:rPr>
              <w:t xml:space="preserve"> para el año anterior. Por ejemplo, en 2025 se tiene en cuenta el IPC certificado al 31 de diciembre de 2024; es decir, 5,20 %.</w:t>
            </w:r>
          </w:p>
          <w:p w14:paraId="165AB070" w14:textId="77777777" w:rsidR="00E6460E" w:rsidRPr="00463436" w:rsidRDefault="00E6460E" w:rsidP="00E6460E">
            <w:pPr>
              <w:pStyle w:val="ListParagraph"/>
              <w:numPr>
                <w:ilvl w:val="0"/>
                <w:numId w:val="14"/>
              </w:numPr>
              <w:tabs>
                <w:tab w:val="left" w:pos="8364"/>
              </w:tabs>
              <w:spacing w:after="0" w:line="240" w:lineRule="auto"/>
              <w:ind w:right="-142"/>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 xml:space="preserve">La diferencia nominal entre el salario mínimo y la inflación corresponde al incremento real del </w:t>
            </w:r>
            <w:proofErr w:type="spellStart"/>
            <w:r w:rsidRPr="00463436">
              <w:rPr>
                <w:rFonts w:ascii="Verdana" w:eastAsia="Times New Roman" w:hAnsi="Verdana" w:cs="Calibri"/>
                <w:color w:val="000000" w:themeColor="text1"/>
                <w:sz w:val="16"/>
                <w:szCs w:val="16"/>
                <w:lang w:eastAsia="es-CO"/>
              </w:rPr>
              <w:t>smmlv</w:t>
            </w:r>
            <w:proofErr w:type="spellEnd"/>
            <w:r w:rsidRPr="00463436">
              <w:rPr>
                <w:rFonts w:ascii="Verdana" w:eastAsia="Times New Roman" w:hAnsi="Verdana" w:cs="Calibri"/>
                <w:color w:val="000000" w:themeColor="text1"/>
                <w:sz w:val="16"/>
                <w:szCs w:val="16"/>
                <w:lang w:eastAsia="es-CO"/>
              </w:rPr>
              <w:t xml:space="preserve"> para un año. Por ejemplo, en 2025 el incremento real del </w:t>
            </w:r>
            <w:proofErr w:type="spellStart"/>
            <w:r w:rsidRPr="00463436">
              <w:rPr>
                <w:rFonts w:ascii="Verdana" w:eastAsia="Times New Roman" w:hAnsi="Verdana" w:cs="Calibri"/>
                <w:color w:val="000000" w:themeColor="text1"/>
                <w:sz w:val="16"/>
                <w:szCs w:val="16"/>
                <w:lang w:eastAsia="es-CO"/>
              </w:rPr>
              <w:t>smmlv</w:t>
            </w:r>
            <w:proofErr w:type="spellEnd"/>
            <w:r w:rsidRPr="00463436">
              <w:rPr>
                <w:rFonts w:ascii="Verdana" w:eastAsia="Times New Roman" w:hAnsi="Verdana" w:cs="Calibri"/>
                <w:color w:val="000000" w:themeColor="text1"/>
                <w:sz w:val="16"/>
                <w:szCs w:val="16"/>
                <w:lang w:eastAsia="es-CO"/>
              </w:rPr>
              <w:t xml:space="preserve"> es de 4,30 %; así: 9,50 % – 5,20 % = 4,30 %.</w:t>
            </w:r>
          </w:p>
          <w:p w14:paraId="352C00EA" w14:textId="77777777" w:rsidR="00E6460E" w:rsidRPr="00463436" w:rsidRDefault="00E6460E" w:rsidP="00E6460E">
            <w:pPr>
              <w:tabs>
                <w:tab w:val="left" w:pos="8364"/>
              </w:tabs>
              <w:spacing w:after="0" w:line="240" w:lineRule="auto"/>
              <w:ind w:right="-142"/>
              <w:jc w:val="both"/>
              <w:rPr>
                <w:rFonts w:ascii="Verdana" w:eastAsia="Times New Roman" w:hAnsi="Verdana" w:cs="Calibri"/>
                <w:color w:val="000000" w:themeColor="text1"/>
                <w:sz w:val="16"/>
                <w:szCs w:val="16"/>
                <w:lang w:eastAsia="es-CO"/>
              </w:rPr>
            </w:pPr>
          </w:p>
          <w:p w14:paraId="2A4123D0" w14:textId="3640D0A0" w:rsidR="00E6460E" w:rsidRPr="00463436" w:rsidRDefault="00E6460E" w:rsidP="00E6460E">
            <w:pPr>
              <w:tabs>
                <w:tab w:val="left" w:pos="8364"/>
              </w:tabs>
              <w:spacing w:after="0" w:line="240" w:lineRule="auto"/>
              <w:ind w:right="-142"/>
              <w:jc w:val="both"/>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HISTÓRICO SALARIO MÍNIMO Y AUXILIO DE TRANSPORTE</w:t>
            </w:r>
            <w:r w:rsidR="00C463D6" w:rsidRPr="00463436">
              <w:rPr>
                <w:rFonts w:ascii="Verdana" w:eastAsia="Times New Roman" w:hAnsi="Verdana" w:cs="Calibri"/>
                <w:b/>
                <w:bCs/>
                <w:color w:val="000000" w:themeColor="text1"/>
                <w:sz w:val="16"/>
                <w:szCs w:val="16"/>
                <w:lang w:eastAsia="es-CO"/>
              </w:rPr>
              <w:t xml:space="preserve"> 2015-2025</w:t>
            </w:r>
          </w:p>
          <w:p w14:paraId="031D35F3" w14:textId="77777777" w:rsidR="00C463D6" w:rsidRPr="00463436" w:rsidRDefault="00C463D6" w:rsidP="00E6460E">
            <w:pPr>
              <w:tabs>
                <w:tab w:val="left" w:pos="8364"/>
              </w:tabs>
              <w:spacing w:after="0" w:line="240" w:lineRule="auto"/>
              <w:ind w:right="-142"/>
              <w:jc w:val="both"/>
              <w:rPr>
                <w:rFonts w:ascii="Verdana" w:eastAsia="Times New Roman" w:hAnsi="Verdana" w:cs="Calibri"/>
                <w:b/>
                <w:bCs/>
                <w:color w:val="000000" w:themeColor="text1"/>
                <w:sz w:val="16"/>
                <w:szCs w:val="16"/>
                <w:lang w:eastAsia="es-CO"/>
              </w:rPr>
            </w:pPr>
          </w:p>
          <w:tbl>
            <w:tblPr>
              <w:tblW w:w="8160" w:type="dxa"/>
              <w:tblCellSpacing w:w="0" w:type="dxa"/>
              <w:tblCellMar>
                <w:top w:w="36" w:type="dxa"/>
                <w:left w:w="36" w:type="dxa"/>
                <w:bottom w:w="36" w:type="dxa"/>
                <w:right w:w="36" w:type="dxa"/>
              </w:tblCellMar>
              <w:tblLook w:val="04A0" w:firstRow="1" w:lastRow="0" w:firstColumn="1" w:lastColumn="0" w:noHBand="0" w:noVBand="1"/>
            </w:tblPr>
            <w:tblGrid>
              <w:gridCol w:w="8160"/>
            </w:tblGrid>
            <w:tr w:rsidR="00E6460E" w:rsidRPr="00463436" w14:paraId="445F1756" w14:textId="77777777">
              <w:trPr>
                <w:tblCellSpacing w:w="0" w:type="dxa"/>
              </w:trPr>
              <w:tc>
                <w:tcPr>
                  <w:tcW w:w="3990" w:type="dxa"/>
                  <w:vAlign w:val="center"/>
                  <w:hideMark/>
                </w:tcPr>
                <w:p w14:paraId="6469A801" w14:textId="77777777" w:rsidR="00E6460E" w:rsidRPr="00463436" w:rsidRDefault="00E6460E" w:rsidP="00E6460E">
                  <w:pPr>
                    <w:tabs>
                      <w:tab w:val="left" w:pos="8364"/>
                    </w:tabs>
                    <w:spacing w:after="0" w:line="240" w:lineRule="auto"/>
                    <w:ind w:right="-142"/>
                    <w:jc w:val="both"/>
                    <w:rPr>
                      <w:rFonts w:ascii="Verdana" w:eastAsia="Times New Roman" w:hAnsi="Verdana" w:cs="Calibri"/>
                      <w:color w:val="000000" w:themeColor="text1"/>
                      <w:sz w:val="16"/>
                      <w:szCs w:val="16"/>
                      <w:lang w:eastAsia="es-CO"/>
                    </w:rPr>
                  </w:pPr>
                </w:p>
              </w:tc>
            </w:tr>
          </w:tbl>
          <w:p w14:paraId="0BDF01C5" w14:textId="433CE0AC" w:rsidR="00C463D6" w:rsidRPr="00463436" w:rsidRDefault="00C463D6" w:rsidP="00C463D6">
            <w:pPr>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A continuación, se presenta el comportamiento histórico del salario mínimo mensual legal vigente (SMMLV) y el auxilio de transporte en Colombia durante el periodo comprendido entre los años 2015 y 2025, junto con el decreto que oficializó cada valor anual.</w:t>
            </w:r>
          </w:p>
          <w:tbl>
            <w:tblPr>
              <w:tblStyle w:val="PlainTable1"/>
              <w:tblW w:w="0" w:type="auto"/>
              <w:jc w:val="center"/>
              <w:tblLook w:val="0420" w:firstRow="1" w:lastRow="0" w:firstColumn="0" w:lastColumn="0" w:noHBand="0" w:noVBand="1"/>
            </w:tblPr>
            <w:tblGrid>
              <w:gridCol w:w="623"/>
              <w:gridCol w:w="1147"/>
              <w:gridCol w:w="1165"/>
              <w:gridCol w:w="1434"/>
            </w:tblGrid>
            <w:tr w:rsidR="00C463D6" w:rsidRPr="00463436" w14:paraId="3338C891" w14:textId="77777777" w:rsidTr="00463436">
              <w:trPr>
                <w:cnfStyle w:val="100000000000" w:firstRow="1" w:lastRow="0" w:firstColumn="0" w:lastColumn="0" w:oddVBand="0" w:evenVBand="0" w:oddHBand="0" w:evenHBand="0" w:firstRowFirstColumn="0" w:firstRowLastColumn="0" w:lastRowFirstColumn="0" w:lastRowLastColumn="0"/>
                <w:jc w:val="center"/>
              </w:trPr>
              <w:tc>
                <w:tcPr>
                  <w:tcW w:w="0" w:type="dxa"/>
                </w:tcPr>
                <w:p w14:paraId="65B31292" w14:textId="24733A45" w:rsidR="00C463D6" w:rsidRPr="00463436" w:rsidRDefault="00C463D6" w:rsidP="00463436">
                  <w:pPr>
                    <w:rPr>
                      <w:rFonts w:ascii="Verdana" w:hAnsi="Verdana"/>
                      <w:sz w:val="16"/>
                      <w:szCs w:val="16"/>
                    </w:rPr>
                  </w:pPr>
                  <w:r w:rsidRPr="00463436">
                    <w:rPr>
                      <w:rFonts w:ascii="Verdana" w:hAnsi="Verdana"/>
                      <w:sz w:val="16"/>
                      <w:szCs w:val="16"/>
                    </w:rPr>
                    <w:t>Año</w:t>
                  </w:r>
                </w:p>
              </w:tc>
              <w:tc>
                <w:tcPr>
                  <w:tcW w:w="0" w:type="dxa"/>
                </w:tcPr>
                <w:p w14:paraId="21DC4987" w14:textId="738F2980" w:rsidR="00C463D6" w:rsidRPr="00463436" w:rsidRDefault="00C463D6" w:rsidP="00463436">
                  <w:pPr>
                    <w:rPr>
                      <w:rFonts w:ascii="Verdana" w:hAnsi="Verdana"/>
                      <w:sz w:val="16"/>
                      <w:szCs w:val="16"/>
                    </w:rPr>
                  </w:pPr>
                  <w:r w:rsidRPr="00463436">
                    <w:rPr>
                      <w:rFonts w:ascii="Verdana" w:hAnsi="Verdana"/>
                      <w:sz w:val="16"/>
                      <w:szCs w:val="16"/>
                    </w:rPr>
                    <w:t>Salario mínimo mensual</w:t>
                  </w:r>
                </w:p>
              </w:tc>
              <w:tc>
                <w:tcPr>
                  <w:tcW w:w="0" w:type="dxa"/>
                </w:tcPr>
                <w:p w14:paraId="1AFD7565" w14:textId="56381BCB" w:rsidR="00C463D6" w:rsidRPr="00463436" w:rsidRDefault="00C463D6" w:rsidP="00463436">
                  <w:pPr>
                    <w:rPr>
                      <w:rFonts w:ascii="Verdana" w:hAnsi="Verdana"/>
                      <w:sz w:val="16"/>
                      <w:szCs w:val="16"/>
                    </w:rPr>
                  </w:pPr>
                  <w:r w:rsidRPr="00463436">
                    <w:rPr>
                      <w:rFonts w:ascii="Verdana" w:hAnsi="Verdana"/>
                      <w:sz w:val="16"/>
                      <w:szCs w:val="16"/>
                    </w:rPr>
                    <w:t>Auxilio de transporte</w:t>
                  </w:r>
                </w:p>
              </w:tc>
              <w:tc>
                <w:tcPr>
                  <w:tcW w:w="0" w:type="dxa"/>
                </w:tcPr>
                <w:p w14:paraId="088D63C2" w14:textId="418F242C" w:rsidR="00C463D6" w:rsidRPr="00463436" w:rsidRDefault="00C463D6" w:rsidP="00463436">
                  <w:pPr>
                    <w:rPr>
                      <w:rFonts w:ascii="Verdana" w:hAnsi="Verdana"/>
                      <w:sz w:val="16"/>
                      <w:szCs w:val="16"/>
                    </w:rPr>
                  </w:pPr>
                  <w:r w:rsidRPr="00463436">
                    <w:rPr>
                      <w:rFonts w:ascii="Verdana" w:hAnsi="Verdana"/>
                      <w:sz w:val="16"/>
                      <w:szCs w:val="16"/>
                    </w:rPr>
                    <w:t>Normatividad Decreto</w:t>
                  </w:r>
                </w:p>
              </w:tc>
            </w:tr>
            <w:tr w:rsidR="00C463D6" w:rsidRPr="00463436" w14:paraId="4FE11828"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0" w:type="dxa"/>
                </w:tcPr>
                <w:p w14:paraId="088A25C6" w14:textId="096894A5" w:rsidR="00C463D6" w:rsidRPr="00463436" w:rsidRDefault="00C463D6" w:rsidP="00C463D6">
                  <w:pPr>
                    <w:rPr>
                      <w:rFonts w:ascii="Verdana" w:hAnsi="Verdana"/>
                      <w:sz w:val="16"/>
                      <w:szCs w:val="16"/>
                    </w:rPr>
                  </w:pPr>
                  <w:r w:rsidRPr="00463436">
                    <w:rPr>
                      <w:rFonts w:ascii="Verdana" w:hAnsi="Verdana"/>
                      <w:sz w:val="16"/>
                      <w:szCs w:val="16"/>
                    </w:rPr>
                    <w:t>2025</w:t>
                  </w:r>
                </w:p>
              </w:tc>
              <w:tc>
                <w:tcPr>
                  <w:tcW w:w="0" w:type="dxa"/>
                </w:tcPr>
                <w:p w14:paraId="36D7CE62" w14:textId="0C1B36D1" w:rsidR="00C463D6" w:rsidRPr="00463436" w:rsidRDefault="00C463D6" w:rsidP="00C463D6">
                  <w:pPr>
                    <w:rPr>
                      <w:rFonts w:ascii="Verdana" w:hAnsi="Verdana"/>
                      <w:sz w:val="16"/>
                      <w:szCs w:val="16"/>
                    </w:rPr>
                  </w:pPr>
                  <w:r w:rsidRPr="00463436">
                    <w:rPr>
                      <w:rFonts w:ascii="Verdana" w:hAnsi="Verdana"/>
                      <w:sz w:val="16"/>
                      <w:szCs w:val="16"/>
                    </w:rPr>
                    <w:t>$1.423.500</w:t>
                  </w:r>
                </w:p>
              </w:tc>
              <w:tc>
                <w:tcPr>
                  <w:tcW w:w="0" w:type="dxa"/>
                </w:tcPr>
                <w:p w14:paraId="10155AF3" w14:textId="0B129E3C" w:rsidR="00C463D6" w:rsidRPr="00463436" w:rsidRDefault="00C463D6" w:rsidP="00C463D6">
                  <w:pPr>
                    <w:rPr>
                      <w:rFonts w:ascii="Verdana" w:hAnsi="Verdana"/>
                      <w:sz w:val="16"/>
                      <w:szCs w:val="16"/>
                    </w:rPr>
                  </w:pPr>
                  <w:r w:rsidRPr="00463436">
                    <w:rPr>
                      <w:rFonts w:ascii="Verdana" w:hAnsi="Verdana"/>
                      <w:sz w:val="16"/>
                      <w:szCs w:val="16"/>
                    </w:rPr>
                    <w:t>$200.000</w:t>
                  </w:r>
                </w:p>
              </w:tc>
              <w:tc>
                <w:tcPr>
                  <w:tcW w:w="0" w:type="dxa"/>
                </w:tcPr>
                <w:p w14:paraId="1E4ECB7C" w14:textId="644D2103" w:rsidR="00C463D6" w:rsidRPr="00463436" w:rsidRDefault="00C463D6" w:rsidP="00C463D6">
                  <w:pPr>
                    <w:rPr>
                      <w:rFonts w:ascii="Verdana" w:hAnsi="Verdana"/>
                      <w:sz w:val="16"/>
                      <w:szCs w:val="16"/>
                    </w:rPr>
                  </w:pPr>
                  <w:r w:rsidRPr="00463436">
                    <w:rPr>
                      <w:rFonts w:ascii="Verdana" w:hAnsi="Verdana"/>
                      <w:sz w:val="16"/>
                      <w:szCs w:val="16"/>
                    </w:rPr>
                    <w:t>1572 de dic 24 de 2024</w:t>
                  </w:r>
                </w:p>
              </w:tc>
            </w:tr>
            <w:tr w:rsidR="00C463D6" w:rsidRPr="00463436" w14:paraId="6CF5EF98" w14:textId="77777777" w:rsidTr="00463436">
              <w:trPr>
                <w:jc w:val="center"/>
              </w:trPr>
              <w:tc>
                <w:tcPr>
                  <w:tcW w:w="0" w:type="dxa"/>
                </w:tcPr>
                <w:p w14:paraId="0D4D12A6" w14:textId="65823C1D" w:rsidR="00C463D6" w:rsidRPr="00463436" w:rsidRDefault="00C463D6" w:rsidP="00C463D6">
                  <w:pPr>
                    <w:rPr>
                      <w:rFonts w:ascii="Verdana" w:hAnsi="Verdana"/>
                      <w:sz w:val="16"/>
                      <w:szCs w:val="16"/>
                    </w:rPr>
                  </w:pPr>
                  <w:r w:rsidRPr="00463436">
                    <w:rPr>
                      <w:rFonts w:ascii="Verdana" w:hAnsi="Verdana"/>
                      <w:sz w:val="16"/>
                      <w:szCs w:val="16"/>
                    </w:rPr>
                    <w:t>2024</w:t>
                  </w:r>
                </w:p>
              </w:tc>
              <w:tc>
                <w:tcPr>
                  <w:tcW w:w="0" w:type="dxa"/>
                </w:tcPr>
                <w:p w14:paraId="60D12892" w14:textId="504909B0" w:rsidR="00C463D6" w:rsidRPr="00463436" w:rsidRDefault="00C463D6" w:rsidP="00C463D6">
                  <w:pPr>
                    <w:rPr>
                      <w:rFonts w:ascii="Verdana" w:hAnsi="Verdana"/>
                      <w:sz w:val="16"/>
                      <w:szCs w:val="16"/>
                    </w:rPr>
                  </w:pPr>
                  <w:r w:rsidRPr="00463436">
                    <w:rPr>
                      <w:rFonts w:ascii="Verdana" w:hAnsi="Verdana"/>
                      <w:sz w:val="16"/>
                      <w:szCs w:val="16"/>
                    </w:rPr>
                    <w:t>$1.300.000</w:t>
                  </w:r>
                </w:p>
              </w:tc>
              <w:tc>
                <w:tcPr>
                  <w:tcW w:w="0" w:type="dxa"/>
                </w:tcPr>
                <w:p w14:paraId="530E40B4" w14:textId="1D058705" w:rsidR="00C463D6" w:rsidRPr="00463436" w:rsidRDefault="00C463D6" w:rsidP="00C463D6">
                  <w:pPr>
                    <w:rPr>
                      <w:rFonts w:ascii="Verdana" w:hAnsi="Verdana"/>
                      <w:sz w:val="16"/>
                      <w:szCs w:val="16"/>
                    </w:rPr>
                  </w:pPr>
                  <w:r w:rsidRPr="00463436">
                    <w:rPr>
                      <w:rFonts w:ascii="Verdana" w:hAnsi="Verdana"/>
                      <w:sz w:val="16"/>
                      <w:szCs w:val="16"/>
                    </w:rPr>
                    <w:t>$162.000</w:t>
                  </w:r>
                </w:p>
              </w:tc>
              <w:tc>
                <w:tcPr>
                  <w:tcW w:w="0" w:type="dxa"/>
                </w:tcPr>
                <w:p w14:paraId="64D52729" w14:textId="78199BBC" w:rsidR="00C463D6" w:rsidRPr="00463436" w:rsidRDefault="00C463D6" w:rsidP="00C463D6">
                  <w:pPr>
                    <w:rPr>
                      <w:rFonts w:ascii="Verdana" w:hAnsi="Verdana"/>
                      <w:sz w:val="16"/>
                      <w:szCs w:val="16"/>
                    </w:rPr>
                  </w:pPr>
                  <w:r w:rsidRPr="00463436">
                    <w:rPr>
                      <w:rFonts w:ascii="Verdana" w:hAnsi="Verdana"/>
                      <w:sz w:val="16"/>
                      <w:szCs w:val="16"/>
                    </w:rPr>
                    <w:t>2292 de dic 29 2023</w:t>
                  </w:r>
                </w:p>
              </w:tc>
            </w:tr>
            <w:tr w:rsidR="00F11309" w:rsidRPr="00463436" w14:paraId="0D4F6DD9"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0" w:type="dxa"/>
                </w:tcPr>
                <w:p w14:paraId="37BEFA87" w14:textId="5948BEC6" w:rsidR="00C463D6" w:rsidRPr="00463436" w:rsidRDefault="00C463D6" w:rsidP="00C463D6">
                  <w:pPr>
                    <w:rPr>
                      <w:rFonts w:ascii="Verdana" w:hAnsi="Verdana"/>
                      <w:sz w:val="16"/>
                      <w:szCs w:val="16"/>
                    </w:rPr>
                  </w:pPr>
                  <w:r w:rsidRPr="00463436">
                    <w:rPr>
                      <w:rFonts w:ascii="Verdana" w:hAnsi="Verdana"/>
                      <w:sz w:val="16"/>
                      <w:szCs w:val="16"/>
                    </w:rPr>
                    <w:t>2023</w:t>
                  </w:r>
                </w:p>
              </w:tc>
              <w:tc>
                <w:tcPr>
                  <w:tcW w:w="0" w:type="dxa"/>
                </w:tcPr>
                <w:p w14:paraId="349DDC05" w14:textId="56CBA6AB" w:rsidR="00C463D6" w:rsidRPr="00463436" w:rsidRDefault="00C463D6" w:rsidP="00C463D6">
                  <w:pPr>
                    <w:rPr>
                      <w:rFonts w:ascii="Verdana" w:hAnsi="Verdana"/>
                      <w:sz w:val="16"/>
                      <w:szCs w:val="16"/>
                    </w:rPr>
                  </w:pPr>
                  <w:r w:rsidRPr="00463436">
                    <w:rPr>
                      <w:rFonts w:ascii="Verdana" w:hAnsi="Verdana"/>
                      <w:sz w:val="16"/>
                      <w:szCs w:val="16"/>
                    </w:rPr>
                    <w:t>$1.160.000</w:t>
                  </w:r>
                </w:p>
              </w:tc>
              <w:tc>
                <w:tcPr>
                  <w:tcW w:w="0" w:type="dxa"/>
                </w:tcPr>
                <w:p w14:paraId="270E7087" w14:textId="5DC5C7CF" w:rsidR="00C463D6" w:rsidRPr="00463436" w:rsidRDefault="00C463D6" w:rsidP="00C463D6">
                  <w:pPr>
                    <w:rPr>
                      <w:rFonts w:ascii="Verdana" w:hAnsi="Verdana"/>
                      <w:sz w:val="16"/>
                      <w:szCs w:val="16"/>
                    </w:rPr>
                  </w:pPr>
                  <w:r w:rsidRPr="00463436">
                    <w:rPr>
                      <w:rFonts w:ascii="Verdana" w:hAnsi="Verdana"/>
                      <w:sz w:val="16"/>
                      <w:szCs w:val="16"/>
                    </w:rPr>
                    <w:t>$140.606</w:t>
                  </w:r>
                </w:p>
              </w:tc>
              <w:tc>
                <w:tcPr>
                  <w:tcW w:w="0" w:type="dxa"/>
                </w:tcPr>
                <w:p w14:paraId="6FFFB42C" w14:textId="078F3A4D" w:rsidR="00C463D6" w:rsidRPr="00463436" w:rsidRDefault="00C463D6" w:rsidP="00C463D6">
                  <w:pPr>
                    <w:rPr>
                      <w:rFonts w:ascii="Verdana" w:hAnsi="Verdana"/>
                      <w:sz w:val="16"/>
                      <w:szCs w:val="16"/>
                    </w:rPr>
                  </w:pPr>
                  <w:r w:rsidRPr="00463436">
                    <w:rPr>
                      <w:rFonts w:ascii="Verdana" w:hAnsi="Verdana"/>
                      <w:sz w:val="16"/>
                      <w:szCs w:val="16"/>
                    </w:rPr>
                    <w:t>2623 de dic 28 2022</w:t>
                  </w:r>
                </w:p>
              </w:tc>
            </w:tr>
            <w:tr w:rsidR="00C463D6" w:rsidRPr="00463436" w14:paraId="6397735A" w14:textId="77777777" w:rsidTr="00463436">
              <w:trPr>
                <w:jc w:val="center"/>
              </w:trPr>
              <w:tc>
                <w:tcPr>
                  <w:tcW w:w="0" w:type="dxa"/>
                </w:tcPr>
                <w:p w14:paraId="12B7EB39" w14:textId="443126C0" w:rsidR="00C463D6" w:rsidRPr="00463436" w:rsidRDefault="00C463D6" w:rsidP="00C463D6">
                  <w:pPr>
                    <w:rPr>
                      <w:rFonts w:ascii="Verdana" w:hAnsi="Verdana"/>
                      <w:sz w:val="16"/>
                      <w:szCs w:val="16"/>
                    </w:rPr>
                  </w:pPr>
                  <w:r w:rsidRPr="00463436">
                    <w:rPr>
                      <w:rFonts w:ascii="Verdana" w:hAnsi="Verdana"/>
                      <w:sz w:val="16"/>
                      <w:szCs w:val="16"/>
                    </w:rPr>
                    <w:t>2022</w:t>
                  </w:r>
                </w:p>
              </w:tc>
              <w:tc>
                <w:tcPr>
                  <w:tcW w:w="0" w:type="dxa"/>
                </w:tcPr>
                <w:p w14:paraId="34C797CB" w14:textId="2CA87289" w:rsidR="00C463D6" w:rsidRPr="00463436" w:rsidRDefault="00C463D6" w:rsidP="00C463D6">
                  <w:pPr>
                    <w:rPr>
                      <w:rFonts w:ascii="Verdana" w:hAnsi="Verdana"/>
                      <w:sz w:val="16"/>
                      <w:szCs w:val="16"/>
                    </w:rPr>
                  </w:pPr>
                  <w:r w:rsidRPr="00463436">
                    <w:rPr>
                      <w:rFonts w:ascii="Verdana" w:hAnsi="Verdana"/>
                      <w:sz w:val="16"/>
                      <w:szCs w:val="16"/>
                    </w:rPr>
                    <w:t>$1.000.000</w:t>
                  </w:r>
                </w:p>
              </w:tc>
              <w:tc>
                <w:tcPr>
                  <w:tcW w:w="0" w:type="dxa"/>
                </w:tcPr>
                <w:p w14:paraId="6817060F" w14:textId="553EC2FE" w:rsidR="00C463D6" w:rsidRPr="00463436" w:rsidRDefault="00C463D6" w:rsidP="00C463D6">
                  <w:pPr>
                    <w:rPr>
                      <w:rFonts w:ascii="Verdana" w:hAnsi="Verdana"/>
                      <w:sz w:val="16"/>
                      <w:szCs w:val="16"/>
                    </w:rPr>
                  </w:pPr>
                  <w:r w:rsidRPr="00463436">
                    <w:rPr>
                      <w:rFonts w:ascii="Verdana" w:hAnsi="Verdana"/>
                      <w:sz w:val="16"/>
                      <w:szCs w:val="16"/>
                    </w:rPr>
                    <w:t>$117.172</w:t>
                  </w:r>
                </w:p>
              </w:tc>
              <w:tc>
                <w:tcPr>
                  <w:tcW w:w="0" w:type="dxa"/>
                </w:tcPr>
                <w:p w14:paraId="565059F2" w14:textId="63CB6037" w:rsidR="00C463D6" w:rsidRPr="00463436" w:rsidRDefault="00C463D6" w:rsidP="00C463D6">
                  <w:pPr>
                    <w:rPr>
                      <w:rFonts w:ascii="Verdana" w:hAnsi="Verdana"/>
                      <w:sz w:val="16"/>
                      <w:szCs w:val="16"/>
                    </w:rPr>
                  </w:pPr>
                  <w:r w:rsidRPr="00463436">
                    <w:rPr>
                      <w:rFonts w:ascii="Verdana" w:hAnsi="Verdana"/>
                      <w:sz w:val="16"/>
                      <w:szCs w:val="16"/>
                    </w:rPr>
                    <w:t>1724 de dic 15 de 2021</w:t>
                  </w:r>
                </w:p>
              </w:tc>
            </w:tr>
            <w:tr w:rsidR="00C463D6" w:rsidRPr="00463436" w14:paraId="62C069A7"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0" w:type="dxa"/>
                </w:tcPr>
                <w:p w14:paraId="533D0502" w14:textId="1F5CFA3F" w:rsidR="00C463D6" w:rsidRPr="00463436" w:rsidRDefault="00C463D6" w:rsidP="00C463D6">
                  <w:pPr>
                    <w:rPr>
                      <w:rFonts w:ascii="Verdana" w:hAnsi="Verdana"/>
                      <w:sz w:val="16"/>
                      <w:szCs w:val="16"/>
                    </w:rPr>
                  </w:pPr>
                  <w:r w:rsidRPr="00463436">
                    <w:rPr>
                      <w:rFonts w:ascii="Verdana" w:hAnsi="Verdana"/>
                      <w:sz w:val="16"/>
                      <w:szCs w:val="16"/>
                    </w:rPr>
                    <w:t>2021</w:t>
                  </w:r>
                </w:p>
              </w:tc>
              <w:tc>
                <w:tcPr>
                  <w:tcW w:w="0" w:type="dxa"/>
                </w:tcPr>
                <w:p w14:paraId="66F5FD8F" w14:textId="4CF9068C" w:rsidR="00C463D6" w:rsidRPr="00463436" w:rsidRDefault="00C463D6" w:rsidP="00C463D6">
                  <w:pPr>
                    <w:rPr>
                      <w:rFonts w:ascii="Verdana" w:hAnsi="Verdana"/>
                      <w:sz w:val="16"/>
                      <w:szCs w:val="16"/>
                    </w:rPr>
                  </w:pPr>
                  <w:r w:rsidRPr="00463436">
                    <w:rPr>
                      <w:rFonts w:ascii="Verdana" w:hAnsi="Verdana"/>
                      <w:sz w:val="16"/>
                      <w:szCs w:val="16"/>
                    </w:rPr>
                    <w:t>$908.526</w:t>
                  </w:r>
                </w:p>
              </w:tc>
              <w:tc>
                <w:tcPr>
                  <w:tcW w:w="0" w:type="dxa"/>
                </w:tcPr>
                <w:p w14:paraId="060D3D01" w14:textId="087D0387" w:rsidR="00C463D6" w:rsidRPr="00463436" w:rsidRDefault="00C463D6" w:rsidP="00C463D6">
                  <w:pPr>
                    <w:rPr>
                      <w:rFonts w:ascii="Verdana" w:hAnsi="Verdana"/>
                      <w:sz w:val="16"/>
                      <w:szCs w:val="16"/>
                    </w:rPr>
                  </w:pPr>
                  <w:r w:rsidRPr="00463436">
                    <w:rPr>
                      <w:rFonts w:ascii="Verdana" w:hAnsi="Verdana"/>
                      <w:sz w:val="16"/>
                      <w:szCs w:val="16"/>
                    </w:rPr>
                    <w:t>$106.454</w:t>
                  </w:r>
                </w:p>
              </w:tc>
              <w:tc>
                <w:tcPr>
                  <w:tcW w:w="0" w:type="dxa"/>
                </w:tcPr>
                <w:p w14:paraId="44EA11F9" w14:textId="3EFCFD47" w:rsidR="00C463D6" w:rsidRPr="00463436" w:rsidRDefault="00C463D6" w:rsidP="00C463D6">
                  <w:pPr>
                    <w:rPr>
                      <w:rFonts w:ascii="Verdana" w:hAnsi="Verdana"/>
                      <w:sz w:val="16"/>
                      <w:szCs w:val="16"/>
                    </w:rPr>
                  </w:pPr>
                  <w:r w:rsidRPr="00463436">
                    <w:rPr>
                      <w:rFonts w:ascii="Verdana" w:hAnsi="Verdana"/>
                      <w:sz w:val="16"/>
                      <w:szCs w:val="16"/>
                    </w:rPr>
                    <w:t>1786 de dic 29 de 2020</w:t>
                  </w:r>
                </w:p>
              </w:tc>
            </w:tr>
            <w:tr w:rsidR="00C463D6" w:rsidRPr="00463436" w14:paraId="7E7E9CAE" w14:textId="77777777" w:rsidTr="00463436">
              <w:trPr>
                <w:jc w:val="center"/>
              </w:trPr>
              <w:tc>
                <w:tcPr>
                  <w:tcW w:w="0" w:type="dxa"/>
                </w:tcPr>
                <w:p w14:paraId="5AA566E4" w14:textId="5A4DAE8E" w:rsidR="00C463D6" w:rsidRPr="00463436" w:rsidRDefault="00C463D6" w:rsidP="00C463D6">
                  <w:pPr>
                    <w:rPr>
                      <w:rFonts w:ascii="Verdana" w:hAnsi="Verdana"/>
                      <w:sz w:val="16"/>
                      <w:szCs w:val="16"/>
                    </w:rPr>
                  </w:pPr>
                  <w:r w:rsidRPr="00463436">
                    <w:rPr>
                      <w:rFonts w:ascii="Verdana" w:hAnsi="Verdana"/>
                      <w:sz w:val="16"/>
                      <w:szCs w:val="16"/>
                    </w:rPr>
                    <w:t>2020</w:t>
                  </w:r>
                </w:p>
              </w:tc>
              <w:tc>
                <w:tcPr>
                  <w:tcW w:w="0" w:type="dxa"/>
                </w:tcPr>
                <w:p w14:paraId="16691119" w14:textId="712E546D" w:rsidR="00C463D6" w:rsidRPr="00463436" w:rsidRDefault="00C463D6" w:rsidP="00C463D6">
                  <w:pPr>
                    <w:rPr>
                      <w:rFonts w:ascii="Verdana" w:hAnsi="Verdana"/>
                      <w:sz w:val="16"/>
                      <w:szCs w:val="16"/>
                    </w:rPr>
                  </w:pPr>
                  <w:r w:rsidRPr="00463436">
                    <w:rPr>
                      <w:rFonts w:ascii="Verdana" w:hAnsi="Verdana"/>
                      <w:sz w:val="16"/>
                      <w:szCs w:val="16"/>
                    </w:rPr>
                    <w:t>$877.803</w:t>
                  </w:r>
                </w:p>
              </w:tc>
              <w:tc>
                <w:tcPr>
                  <w:tcW w:w="0" w:type="dxa"/>
                </w:tcPr>
                <w:p w14:paraId="57C19E82" w14:textId="1969C772" w:rsidR="00C463D6" w:rsidRPr="00463436" w:rsidRDefault="00C463D6" w:rsidP="00C463D6">
                  <w:pPr>
                    <w:rPr>
                      <w:rFonts w:ascii="Verdana" w:hAnsi="Verdana"/>
                      <w:sz w:val="16"/>
                      <w:szCs w:val="16"/>
                    </w:rPr>
                  </w:pPr>
                  <w:r w:rsidRPr="00463436">
                    <w:rPr>
                      <w:rFonts w:ascii="Verdana" w:hAnsi="Verdana"/>
                      <w:sz w:val="16"/>
                      <w:szCs w:val="16"/>
                    </w:rPr>
                    <w:t>$102.854</w:t>
                  </w:r>
                </w:p>
              </w:tc>
              <w:tc>
                <w:tcPr>
                  <w:tcW w:w="0" w:type="dxa"/>
                </w:tcPr>
                <w:p w14:paraId="39EAC46F" w14:textId="0A151EFC" w:rsidR="00C463D6" w:rsidRPr="00463436" w:rsidRDefault="00C463D6" w:rsidP="00C463D6">
                  <w:pPr>
                    <w:rPr>
                      <w:rFonts w:ascii="Verdana" w:hAnsi="Verdana"/>
                      <w:sz w:val="16"/>
                      <w:szCs w:val="16"/>
                    </w:rPr>
                  </w:pPr>
                  <w:r w:rsidRPr="00463436">
                    <w:rPr>
                      <w:rFonts w:ascii="Verdana" w:hAnsi="Verdana"/>
                      <w:sz w:val="16"/>
                      <w:szCs w:val="16"/>
                    </w:rPr>
                    <w:t>2360 de dic 26 de 2019</w:t>
                  </w:r>
                </w:p>
              </w:tc>
            </w:tr>
            <w:tr w:rsidR="00C463D6" w:rsidRPr="00463436" w14:paraId="72668DF7"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0" w:type="dxa"/>
                </w:tcPr>
                <w:p w14:paraId="4E2E9DFD" w14:textId="7D92260C" w:rsidR="00C463D6" w:rsidRPr="00463436" w:rsidRDefault="00C463D6" w:rsidP="00C463D6">
                  <w:pPr>
                    <w:rPr>
                      <w:rFonts w:ascii="Verdana" w:hAnsi="Verdana"/>
                      <w:sz w:val="16"/>
                      <w:szCs w:val="16"/>
                    </w:rPr>
                  </w:pPr>
                  <w:r w:rsidRPr="00463436">
                    <w:rPr>
                      <w:rFonts w:ascii="Verdana" w:hAnsi="Verdana"/>
                      <w:sz w:val="16"/>
                      <w:szCs w:val="16"/>
                    </w:rPr>
                    <w:t>2019</w:t>
                  </w:r>
                </w:p>
              </w:tc>
              <w:tc>
                <w:tcPr>
                  <w:tcW w:w="0" w:type="dxa"/>
                </w:tcPr>
                <w:p w14:paraId="6D6FCD59" w14:textId="6ACAA44D" w:rsidR="00C463D6" w:rsidRPr="00463436" w:rsidRDefault="00C463D6" w:rsidP="00C463D6">
                  <w:pPr>
                    <w:rPr>
                      <w:rFonts w:ascii="Verdana" w:hAnsi="Verdana"/>
                      <w:sz w:val="16"/>
                      <w:szCs w:val="16"/>
                    </w:rPr>
                  </w:pPr>
                  <w:r w:rsidRPr="00463436">
                    <w:rPr>
                      <w:rFonts w:ascii="Verdana" w:hAnsi="Verdana"/>
                      <w:sz w:val="16"/>
                      <w:szCs w:val="16"/>
                    </w:rPr>
                    <w:t>$828.116</w:t>
                  </w:r>
                </w:p>
              </w:tc>
              <w:tc>
                <w:tcPr>
                  <w:tcW w:w="0" w:type="dxa"/>
                </w:tcPr>
                <w:p w14:paraId="7525B262" w14:textId="7B0E073E" w:rsidR="00C463D6" w:rsidRPr="00463436" w:rsidRDefault="00C463D6" w:rsidP="00C463D6">
                  <w:pPr>
                    <w:rPr>
                      <w:rFonts w:ascii="Verdana" w:hAnsi="Verdana"/>
                      <w:sz w:val="16"/>
                      <w:szCs w:val="16"/>
                    </w:rPr>
                  </w:pPr>
                  <w:r w:rsidRPr="00463436">
                    <w:rPr>
                      <w:rFonts w:ascii="Verdana" w:hAnsi="Verdana"/>
                      <w:sz w:val="16"/>
                      <w:szCs w:val="16"/>
                    </w:rPr>
                    <w:t>$97.032</w:t>
                  </w:r>
                </w:p>
              </w:tc>
              <w:tc>
                <w:tcPr>
                  <w:tcW w:w="0" w:type="dxa"/>
                </w:tcPr>
                <w:p w14:paraId="42395EE6" w14:textId="6438DDAB" w:rsidR="00C463D6" w:rsidRPr="00463436" w:rsidRDefault="00C463D6" w:rsidP="00C463D6">
                  <w:pPr>
                    <w:rPr>
                      <w:rFonts w:ascii="Verdana" w:hAnsi="Verdana"/>
                      <w:sz w:val="16"/>
                      <w:szCs w:val="16"/>
                    </w:rPr>
                  </w:pPr>
                  <w:r w:rsidRPr="00463436">
                    <w:rPr>
                      <w:rFonts w:ascii="Verdana" w:hAnsi="Verdana"/>
                      <w:sz w:val="16"/>
                      <w:szCs w:val="16"/>
                    </w:rPr>
                    <w:t>2451 de dic 27 de 2018</w:t>
                  </w:r>
                </w:p>
              </w:tc>
            </w:tr>
            <w:tr w:rsidR="00F11309" w:rsidRPr="00463436" w14:paraId="4679811F" w14:textId="77777777" w:rsidTr="00463436">
              <w:trPr>
                <w:jc w:val="center"/>
              </w:trPr>
              <w:tc>
                <w:tcPr>
                  <w:tcW w:w="0" w:type="dxa"/>
                </w:tcPr>
                <w:p w14:paraId="14016CEE" w14:textId="3F4535F7" w:rsidR="00C463D6" w:rsidRPr="00463436" w:rsidRDefault="00C463D6" w:rsidP="00C463D6">
                  <w:pPr>
                    <w:rPr>
                      <w:rFonts w:ascii="Verdana" w:hAnsi="Verdana"/>
                      <w:sz w:val="16"/>
                      <w:szCs w:val="16"/>
                    </w:rPr>
                  </w:pPr>
                  <w:r w:rsidRPr="00463436">
                    <w:rPr>
                      <w:rFonts w:ascii="Verdana" w:hAnsi="Verdana"/>
                      <w:sz w:val="16"/>
                      <w:szCs w:val="16"/>
                    </w:rPr>
                    <w:t>2018</w:t>
                  </w:r>
                </w:p>
              </w:tc>
              <w:tc>
                <w:tcPr>
                  <w:tcW w:w="0" w:type="dxa"/>
                </w:tcPr>
                <w:p w14:paraId="15BC9212" w14:textId="5D3426E3" w:rsidR="00C463D6" w:rsidRPr="00463436" w:rsidRDefault="00C463D6" w:rsidP="00C463D6">
                  <w:pPr>
                    <w:rPr>
                      <w:rFonts w:ascii="Verdana" w:hAnsi="Verdana"/>
                      <w:sz w:val="16"/>
                      <w:szCs w:val="16"/>
                    </w:rPr>
                  </w:pPr>
                  <w:r w:rsidRPr="00463436">
                    <w:rPr>
                      <w:rFonts w:ascii="Verdana" w:hAnsi="Verdana"/>
                      <w:sz w:val="16"/>
                      <w:szCs w:val="16"/>
                    </w:rPr>
                    <w:t>$781.242</w:t>
                  </w:r>
                </w:p>
              </w:tc>
              <w:tc>
                <w:tcPr>
                  <w:tcW w:w="0" w:type="dxa"/>
                </w:tcPr>
                <w:p w14:paraId="7E3C8B6F" w14:textId="34C4AA5B" w:rsidR="00C463D6" w:rsidRPr="00463436" w:rsidRDefault="00C463D6" w:rsidP="00C463D6">
                  <w:pPr>
                    <w:rPr>
                      <w:rFonts w:ascii="Verdana" w:hAnsi="Verdana"/>
                      <w:sz w:val="16"/>
                      <w:szCs w:val="16"/>
                    </w:rPr>
                  </w:pPr>
                  <w:r w:rsidRPr="00463436">
                    <w:rPr>
                      <w:rFonts w:ascii="Verdana" w:hAnsi="Verdana"/>
                      <w:sz w:val="16"/>
                      <w:szCs w:val="16"/>
                    </w:rPr>
                    <w:t>$88.211</w:t>
                  </w:r>
                </w:p>
              </w:tc>
              <w:tc>
                <w:tcPr>
                  <w:tcW w:w="0" w:type="dxa"/>
                </w:tcPr>
                <w:p w14:paraId="73BE2BCA" w14:textId="77C8415E" w:rsidR="00C463D6" w:rsidRPr="00463436" w:rsidRDefault="00C463D6" w:rsidP="00C463D6">
                  <w:pPr>
                    <w:rPr>
                      <w:rFonts w:ascii="Verdana" w:hAnsi="Verdana"/>
                      <w:sz w:val="16"/>
                      <w:szCs w:val="16"/>
                    </w:rPr>
                  </w:pPr>
                  <w:r w:rsidRPr="00463436">
                    <w:rPr>
                      <w:rFonts w:ascii="Verdana" w:hAnsi="Verdana"/>
                      <w:sz w:val="16"/>
                      <w:szCs w:val="16"/>
                    </w:rPr>
                    <w:t>2269 de dic 30 de 2017</w:t>
                  </w:r>
                </w:p>
              </w:tc>
            </w:tr>
            <w:tr w:rsidR="00C463D6" w:rsidRPr="00463436" w14:paraId="1E1CC52A"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0" w:type="dxa"/>
                </w:tcPr>
                <w:p w14:paraId="14D51B19" w14:textId="50C4AB75" w:rsidR="00C463D6" w:rsidRPr="00463436" w:rsidRDefault="00C463D6" w:rsidP="00C463D6">
                  <w:pPr>
                    <w:rPr>
                      <w:rFonts w:ascii="Verdana" w:hAnsi="Verdana"/>
                      <w:sz w:val="16"/>
                      <w:szCs w:val="16"/>
                    </w:rPr>
                  </w:pPr>
                  <w:r w:rsidRPr="00463436">
                    <w:rPr>
                      <w:rFonts w:ascii="Verdana" w:hAnsi="Verdana"/>
                      <w:sz w:val="16"/>
                      <w:szCs w:val="16"/>
                    </w:rPr>
                    <w:lastRenderedPageBreak/>
                    <w:t>2017</w:t>
                  </w:r>
                </w:p>
              </w:tc>
              <w:tc>
                <w:tcPr>
                  <w:tcW w:w="0" w:type="dxa"/>
                </w:tcPr>
                <w:p w14:paraId="4E7D50FE" w14:textId="23F2811F" w:rsidR="00C463D6" w:rsidRPr="00463436" w:rsidRDefault="00C463D6" w:rsidP="00C463D6">
                  <w:pPr>
                    <w:rPr>
                      <w:rFonts w:ascii="Verdana" w:hAnsi="Verdana"/>
                      <w:sz w:val="16"/>
                      <w:szCs w:val="16"/>
                    </w:rPr>
                  </w:pPr>
                  <w:r w:rsidRPr="00463436">
                    <w:rPr>
                      <w:rFonts w:ascii="Verdana" w:hAnsi="Verdana"/>
                      <w:sz w:val="16"/>
                      <w:szCs w:val="16"/>
                    </w:rPr>
                    <w:t>$737.717</w:t>
                  </w:r>
                </w:p>
              </w:tc>
              <w:tc>
                <w:tcPr>
                  <w:tcW w:w="0" w:type="dxa"/>
                </w:tcPr>
                <w:p w14:paraId="389901FB" w14:textId="29503F08" w:rsidR="00C463D6" w:rsidRPr="00463436" w:rsidRDefault="00C463D6" w:rsidP="00C463D6">
                  <w:pPr>
                    <w:rPr>
                      <w:rFonts w:ascii="Verdana" w:hAnsi="Verdana"/>
                      <w:sz w:val="16"/>
                      <w:szCs w:val="16"/>
                    </w:rPr>
                  </w:pPr>
                  <w:r w:rsidRPr="00463436">
                    <w:rPr>
                      <w:rFonts w:ascii="Verdana" w:hAnsi="Verdana"/>
                      <w:sz w:val="16"/>
                      <w:szCs w:val="16"/>
                    </w:rPr>
                    <w:t>$83.140</w:t>
                  </w:r>
                </w:p>
              </w:tc>
              <w:tc>
                <w:tcPr>
                  <w:tcW w:w="0" w:type="dxa"/>
                </w:tcPr>
                <w:p w14:paraId="60EDCEA0" w14:textId="068ED54D" w:rsidR="00C463D6" w:rsidRPr="00463436" w:rsidRDefault="00C463D6" w:rsidP="00C463D6">
                  <w:pPr>
                    <w:rPr>
                      <w:rFonts w:ascii="Verdana" w:hAnsi="Verdana"/>
                      <w:sz w:val="16"/>
                      <w:szCs w:val="16"/>
                    </w:rPr>
                  </w:pPr>
                  <w:r w:rsidRPr="00463436">
                    <w:rPr>
                      <w:rFonts w:ascii="Verdana" w:hAnsi="Verdana"/>
                      <w:sz w:val="16"/>
                      <w:szCs w:val="16"/>
                    </w:rPr>
                    <w:t>2209 de dic 30 de 2016</w:t>
                  </w:r>
                </w:p>
              </w:tc>
            </w:tr>
            <w:tr w:rsidR="00C463D6" w:rsidRPr="00463436" w14:paraId="2C853644" w14:textId="77777777" w:rsidTr="00463436">
              <w:trPr>
                <w:jc w:val="center"/>
              </w:trPr>
              <w:tc>
                <w:tcPr>
                  <w:tcW w:w="0" w:type="dxa"/>
                </w:tcPr>
                <w:p w14:paraId="7A8A7DF2" w14:textId="0D7FA8EC" w:rsidR="00C463D6" w:rsidRPr="00463436" w:rsidRDefault="00C463D6" w:rsidP="00C463D6">
                  <w:pPr>
                    <w:rPr>
                      <w:rFonts w:ascii="Verdana" w:hAnsi="Verdana"/>
                      <w:sz w:val="16"/>
                      <w:szCs w:val="16"/>
                    </w:rPr>
                  </w:pPr>
                  <w:r w:rsidRPr="00463436">
                    <w:rPr>
                      <w:rFonts w:ascii="Verdana" w:hAnsi="Verdana"/>
                      <w:sz w:val="16"/>
                      <w:szCs w:val="16"/>
                    </w:rPr>
                    <w:t>2016</w:t>
                  </w:r>
                </w:p>
              </w:tc>
              <w:tc>
                <w:tcPr>
                  <w:tcW w:w="0" w:type="dxa"/>
                </w:tcPr>
                <w:p w14:paraId="2E0EACD1" w14:textId="75800D85" w:rsidR="00C463D6" w:rsidRPr="00463436" w:rsidRDefault="00C463D6" w:rsidP="00C463D6">
                  <w:pPr>
                    <w:rPr>
                      <w:rFonts w:ascii="Verdana" w:hAnsi="Verdana"/>
                      <w:sz w:val="16"/>
                      <w:szCs w:val="16"/>
                    </w:rPr>
                  </w:pPr>
                  <w:r w:rsidRPr="00463436">
                    <w:rPr>
                      <w:rFonts w:ascii="Verdana" w:hAnsi="Verdana"/>
                      <w:sz w:val="16"/>
                      <w:szCs w:val="16"/>
                    </w:rPr>
                    <w:t>$689.455</w:t>
                  </w:r>
                </w:p>
              </w:tc>
              <w:tc>
                <w:tcPr>
                  <w:tcW w:w="0" w:type="dxa"/>
                </w:tcPr>
                <w:p w14:paraId="0408AA2B" w14:textId="4C939277" w:rsidR="00C463D6" w:rsidRPr="00463436" w:rsidRDefault="00C463D6" w:rsidP="00C463D6">
                  <w:pPr>
                    <w:rPr>
                      <w:rFonts w:ascii="Verdana" w:hAnsi="Verdana"/>
                      <w:sz w:val="16"/>
                      <w:szCs w:val="16"/>
                    </w:rPr>
                  </w:pPr>
                  <w:r w:rsidRPr="00463436">
                    <w:rPr>
                      <w:rFonts w:ascii="Verdana" w:hAnsi="Verdana"/>
                      <w:sz w:val="16"/>
                      <w:szCs w:val="16"/>
                    </w:rPr>
                    <w:t>$77.700</w:t>
                  </w:r>
                </w:p>
              </w:tc>
              <w:tc>
                <w:tcPr>
                  <w:tcW w:w="0" w:type="dxa"/>
                </w:tcPr>
                <w:p w14:paraId="5B74D7BC" w14:textId="5466AF7A" w:rsidR="00C463D6" w:rsidRPr="00463436" w:rsidRDefault="00C463D6" w:rsidP="00C463D6">
                  <w:pPr>
                    <w:rPr>
                      <w:rFonts w:ascii="Verdana" w:hAnsi="Verdana"/>
                      <w:sz w:val="16"/>
                      <w:szCs w:val="16"/>
                    </w:rPr>
                  </w:pPr>
                  <w:r w:rsidRPr="00463436">
                    <w:rPr>
                      <w:rFonts w:ascii="Verdana" w:hAnsi="Verdana"/>
                      <w:sz w:val="16"/>
                      <w:szCs w:val="16"/>
                    </w:rPr>
                    <w:t>2552 de dic 30 de 2015</w:t>
                  </w:r>
                </w:p>
              </w:tc>
            </w:tr>
            <w:tr w:rsidR="00C463D6" w:rsidRPr="00463436" w14:paraId="59AE75C6"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0" w:type="dxa"/>
                </w:tcPr>
                <w:p w14:paraId="167BBAA3" w14:textId="14E92425" w:rsidR="00C463D6" w:rsidRPr="00463436" w:rsidRDefault="00C463D6" w:rsidP="00C463D6">
                  <w:pPr>
                    <w:rPr>
                      <w:rFonts w:ascii="Verdana" w:hAnsi="Verdana"/>
                      <w:sz w:val="16"/>
                      <w:szCs w:val="16"/>
                    </w:rPr>
                  </w:pPr>
                  <w:r w:rsidRPr="00463436">
                    <w:rPr>
                      <w:rFonts w:ascii="Verdana" w:hAnsi="Verdana"/>
                      <w:sz w:val="16"/>
                      <w:szCs w:val="16"/>
                    </w:rPr>
                    <w:t>2015</w:t>
                  </w:r>
                </w:p>
              </w:tc>
              <w:tc>
                <w:tcPr>
                  <w:tcW w:w="0" w:type="dxa"/>
                </w:tcPr>
                <w:p w14:paraId="23B3C62D" w14:textId="4F1C528B" w:rsidR="00C463D6" w:rsidRPr="00463436" w:rsidRDefault="00C463D6" w:rsidP="00C463D6">
                  <w:pPr>
                    <w:rPr>
                      <w:rFonts w:ascii="Verdana" w:hAnsi="Verdana"/>
                      <w:sz w:val="16"/>
                      <w:szCs w:val="16"/>
                    </w:rPr>
                  </w:pPr>
                  <w:r w:rsidRPr="00463436">
                    <w:rPr>
                      <w:rFonts w:ascii="Verdana" w:hAnsi="Verdana"/>
                      <w:sz w:val="16"/>
                      <w:szCs w:val="16"/>
                    </w:rPr>
                    <w:t>$644.350</w:t>
                  </w:r>
                </w:p>
              </w:tc>
              <w:tc>
                <w:tcPr>
                  <w:tcW w:w="0" w:type="dxa"/>
                </w:tcPr>
                <w:p w14:paraId="42C66059" w14:textId="0C9773B1" w:rsidR="00C463D6" w:rsidRPr="00463436" w:rsidRDefault="00C463D6" w:rsidP="00C463D6">
                  <w:pPr>
                    <w:rPr>
                      <w:rFonts w:ascii="Verdana" w:hAnsi="Verdana"/>
                      <w:sz w:val="16"/>
                      <w:szCs w:val="16"/>
                    </w:rPr>
                  </w:pPr>
                  <w:r w:rsidRPr="00463436">
                    <w:rPr>
                      <w:rFonts w:ascii="Verdana" w:hAnsi="Verdana"/>
                      <w:sz w:val="16"/>
                      <w:szCs w:val="16"/>
                    </w:rPr>
                    <w:t>$74.000</w:t>
                  </w:r>
                </w:p>
              </w:tc>
              <w:tc>
                <w:tcPr>
                  <w:tcW w:w="0" w:type="dxa"/>
                </w:tcPr>
                <w:p w14:paraId="4F6B126B" w14:textId="293E14EF" w:rsidR="00C463D6" w:rsidRPr="00463436" w:rsidRDefault="00C463D6" w:rsidP="00C463D6">
                  <w:pPr>
                    <w:rPr>
                      <w:rFonts w:ascii="Verdana" w:hAnsi="Verdana"/>
                      <w:sz w:val="16"/>
                      <w:szCs w:val="16"/>
                    </w:rPr>
                  </w:pPr>
                  <w:r w:rsidRPr="00463436">
                    <w:rPr>
                      <w:rFonts w:ascii="Verdana" w:hAnsi="Verdana"/>
                      <w:sz w:val="16"/>
                      <w:szCs w:val="16"/>
                    </w:rPr>
                    <w:t>2731 de dic 30 de 2014</w:t>
                  </w:r>
                </w:p>
              </w:tc>
            </w:tr>
          </w:tbl>
          <w:p w14:paraId="331FCD00" w14:textId="77777777" w:rsidR="00C463D6" w:rsidRPr="00463436" w:rsidRDefault="00C463D6" w:rsidP="00463436">
            <w:pPr>
              <w:jc w:val="both"/>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En la tabla se observan los valores establecidos para el salario mínimo mensual y el auxilio de transporte, así como la normatividad que oficializó cada incremento anual. Estos datos permiten identificar la evolución de ambos componentes, fundamentales para el cálculo de la remuneración mínima legal en Colombia y el cumplimiento de las obligaciones laborales en materia de transporte para los trabajadores beneficiarios.</w:t>
            </w:r>
          </w:p>
          <w:p w14:paraId="7DFE8E54" w14:textId="68000FBF" w:rsidR="00F11309" w:rsidRPr="00463436" w:rsidRDefault="00C463D6" w:rsidP="00A71A90">
            <w:pPr>
              <w:pStyle w:val="Heading2"/>
              <w:rPr>
                <w:rFonts w:ascii="Verdana" w:eastAsia="MS Mincho" w:hAnsi="Verdana" w:cs="Arial"/>
                <w:b/>
                <w:bCs/>
                <w:iCs/>
                <w:color w:val="000000" w:themeColor="text1"/>
                <w:sz w:val="16"/>
                <w:szCs w:val="16"/>
              </w:rPr>
            </w:pPr>
            <w:r w:rsidRPr="00463436">
              <w:rPr>
                <w:rFonts w:ascii="Verdana" w:eastAsia="MS Mincho" w:hAnsi="Verdana" w:cs="Arial"/>
                <w:b/>
                <w:bCs/>
                <w:iCs/>
                <w:color w:val="000000" w:themeColor="text1"/>
                <w:sz w:val="16"/>
                <w:szCs w:val="16"/>
              </w:rPr>
              <w:t>Resolución de Honorarios MINCIT</w:t>
            </w:r>
          </w:p>
          <w:p w14:paraId="6E2EDCF6" w14:textId="77777777" w:rsidR="00A71A90" w:rsidRPr="00463436" w:rsidRDefault="00A71A90" w:rsidP="00463436">
            <w:pPr>
              <w:rPr>
                <w:rFonts w:ascii="Verdana" w:hAnsi="Verdana"/>
                <w:sz w:val="16"/>
                <w:szCs w:val="16"/>
              </w:rPr>
            </w:pPr>
          </w:p>
          <w:p w14:paraId="1940AD34" w14:textId="0D798B57" w:rsidR="00C463D6" w:rsidRPr="00463436" w:rsidRDefault="00C463D6"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 xml:space="preserve">La siguiente tabla presenta la información relevante sobre la reglamentación y proyección de los honorarios mensuales máximos para los contratos gestionados por el Ministerio de Comercio, Industria y Turismo (MINCIT) en los años recientes. </w:t>
            </w:r>
          </w:p>
          <w:tbl>
            <w:tblPr>
              <w:tblStyle w:val="PlainTable1"/>
              <w:tblW w:w="0" w:type="auto"/>
              <w:jc w:val="center"/>
              <w:tblLook w:val="0400" w:firstRow="0" w:lastRow="0" w:firstColumn="0" w:lastColumn="0" w:noHBand="0" w:noVBand="1"/>
            </w:tblPr>
            <w:tblGrid>
              <w:gridCol w:w="623"/>
              <w:gridCol w:w="1486"/>
              <w:gridCol w:w="1362"/>
            </w:tblGrid>
            <w:tr w:rsidR="00C463D6" w:rsidRPr="00463436" w14:paraId="190C1C4B"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623" w:type="dxa"/>
                </w:tcPr>
                <w:p w14:paraId="5BD85A05" w14:textId="352F80C7" w:rsidR="00C463D6" w:rsidRPr="00463436" w:rsidRDefault="00C463D6" w:rsidP="00463436">
                  <w:pPr>
                    <w:rPr>
                      <w:rFonts w:ascii="Verdana" w:eastAsia="MS Mincho" w:hAnsi="Verdana" w:cs="Arial"/>
                      <w:b/>
                      <w:bCs/>
                      <w:iCs/>
                      <w:color w:val="000000" w:themeColor="text1"/>
                      <w:sz w:val="16"/>
                      <w:szCs w:val="16"/>
                    </w:rPr>
                  </w:pPr>
                  <w:r w:rsidRPr="00463436">
                    <w:rPr>
                      <w:rFonts w:ascii="Verdana" w:eastAsia="MS Mincho" w:hAnsi="Verdana" w:cs="Arial"/>
                      <w:b/>
                      <w:bCs/>
                      <w:iCs/>
                      <w:color w:val="000000" w:themeColor="text1"/>
                      <w:sz w:val="16"/>
                      <w:szCs w:val="16"/>
                    </w:rPr>
                    <w:t>AÑO</w:t>
                  </w:r>
                </w:p>
              </w:tc>
              <w:tc>
                <w:tcPr>
                  <w:tcW w:w="1486" w:type="dxa"/>
                </w:tcPr>
                <w:p w14:paraId="1602613D" w14:textId="2F1793E1" w:rsidR="00C463D6" w:rsidRPr="00463436" w:rsidRDefault="00C463D6" w:rsidP="00463436">
                  <w:pPr>
                    <w:rPr>
                      <w:rFonts w:ascii="Verdana" w:eastAsia="MS Mincho" w:hAnsi="Verdana" w:cs="Arial"/>
                      <w:b/>
                      <w:bCs/>
                      <w:iCs/>
                      <w:color w:val="000000" w:themeColor="text1"/>
                      <w:sz w:val="16"/>
                      <w:szCs w:val="16"/>
                    </w:rPr>
                  </w:pPr>
                  <w:r w:rsidRPr="00463436">
                    <w:rPr>
                      <w:rFonts w:ascii="Verdana" w:eastAsia="MS Mincho" w:hAnsi="Verdana" w:cs="Arial"/>
                      <w:b/>
                      <w:bCs/>
                      <w:iCs/>
                      <w:color w:val="000000" w:themeColor="text1"/>
                      <w:sz w:val="16"/>
                      <w:szCs w:val="16"/>
                    </w:rPr>
                    <w:t>DOCUMENTOS</w:t>
                  </w:r>
                </w:p>
              </w:tc>
              <w:tc>
                <w:tcPr>
                  <w:tcW w:w="1362" w:type="dxa"/>
                </w:tcPr>
                <w:p w14:paraId="74591874" w14:textId="45E0EED2" w:rsidR="00C463D6" w:rsidRPr="00463436" w:rsidRDefault="00C463D6" w:rsidP="00463436">
                  <w:pPr>
                    <w:rPr>
                      <w:rFonts w:ascii="Verdana" w:eastAsia="MS Mincho" w:hAnsi="Verdana" w:cs="Arial"/>
                      <w:b/>
                      <w:bCs/>
                      <w:iCs/>
                      <w:color w:val="000000" w:themeColor="text1"/>
                      <w:sz w:val="16"/>
                      <w:szCs w:val="16"/>
                    </w:rPr>
                  </w:pPr>
                  <w:r w:rsidRPr="00463436">
                    <w:rPr>
                      <w:rFonts w:ascii="Verdana" w:eastAsia="MS Mincho" w:hAnsi="Verdana" w:cs="Arial"/>
                      <w:b/>
                      <w:bCs/>
                      <w:iCs/>
                      <w:color w:val="000000" w:themeColor="text1"/>
                      <w:sz w:val="16"/>
                      <w:szCs w:val="16"/>
                    </w:rPr>
                    <w:t>REFERENCIA</w:t>
                  </w:r>
                </w:p>
              </w:tc>
            </w:tr>
            <w:tr w:rsidR="00C463D6" w:rsidRPr="00463436" w14:paraId="391037CF" w14:textId="77777777" w:rsidTr="00463436">
              <w:trPr>
                <w:jc w:val="center"/>
              </w:trPr>
              <w:tc>
                <w:tcPr>
                  <w:tcW w:w="623" w:type="dxa"/>
                </w:tcPr>
                <w:p w14:paraId="5B0071D2" w14:textId="3E39E4FA" w:rsidR="00C463D6" w:rsidRPr="00463436" w:rsidRDefault="00C463D6"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2024</w:t>
                  </w:r>
                </w:p>
              </w:tc>
              <w:tc>
                <w:tcPr>
                  <w:tcW w:w="1486" w:type="dxa"/>
                </w:tcPr>
                <w:p w14:paraId="3B1B72FC" w14:textId="75E93E10" w:rsidR="00C463D6" w:rsidRPr="00463436" w:rsidRDefault="00CB6C0D"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Resolución 1562 de 2023</w:t>
                  </w:r>
                </w:p>
              </w:tc>
              <w:tc>
                <w:tcPr>
                  <w:tcW w:w="1362" w:type="dxa"/>
                </w:tcPr>
                <w:p w14:paraId="27170464" w14:textId="07947E64" w:rsidR="00C463D6" w:rsidRPr="00463436" w:rsidRDefault="00CB6C0D"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Proyección valor máximo honorarios mensuales vigencia 2024</w:t>
                  </w:r>
                </w:p>
              </w:tc>
            </w:tr>
            <w:tr w:rsidR="00C463D6" w:rsidRPr="00463436" w14:paraId="677886EE" w14:textId="77777777" w:rsidTr="00463436">
              <w:trPr>
                <w:cnfStyle w:val="000000100000" w:firstRow="0" w:lastRow="0" w:firstColumn="0" w:lastColumn="0" w:oddVBand="0" w:evenVBand="0" w:oddHBand="1" w:evenHBand="0" w:firstRowFirstColumn="0" w:firstRowLastColumn="0" w:lastRowFirstColumn="0" w:lastRowLastColumn="0"/>
                <w:jc w:val="center"/>
              </w:trPr>
              <w:tc>
                <w:tcPr>
                  <w:tcW w:w="623" w:type="dxa"/>
                </w:tcPr>
                <w:p w14:paraId="0EE73C9E" w14:textId="15DD46FC" w:rsidR="00C463D6" w:rsidRPr="00463436" w:rsidRDefault="00C463D6"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2025</w:t>
                  </w:r>
                </w:p>
              </w:tc>
              <w:tc>
                <w:tcPr>
                  <w:tcW w:w="1486" w:type="dxa"/>
                </w:tcPr>
                <w:p w14:paraId="580D42AD" w14:textId="64F8E1F3" w:rsidR="00C463D6" w:rsidRPr="00463436" w:rsidRDefault="00C463D6"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Resolución 060 de 17 de enero de 2025</w:t>
                  </w:r>
                </w:p>
              </w:tc>
              <w:tc>
                <w:tcPr>
                  <w:tcW w:w="1362" w:type="dxa"/>
                </w:tcPr>
                <w:p w14:paraId="0FC3D96B" w14:textId="3B010E28" w:rsidR="00C463D6" w:rsidRPr="00463436" w:rsidRDefault="00C463D6"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Tabla de Honorarios y equivalencias</w:t>
                  </w:r>
                </w:p>
              </w:tc>
            </w:tr>
          </w:tbl>
          <w:p w14:paraId="28CBC5CF" w14:textId="77777777" w:rsidR="00CD49A7" w:rsidRPr="00463436" w:rsidRDefault="00CD49A7" w:rsidP="00C463D6">
            <w:pPr>
              <w:rPr>
                <w:rFonts w:ascii="Verdana" w:eastAsia="MS Mincho" w:hAnsi="Verdana" w:cs="Arial"/>
                <w:iCs/>
                <w:color w:val="000000" w:themeColor="text1"/>
                <w:sz w:val="16"/>
                <w:szCs w:val="16"/>
              </w:rPr>
            </w:pPr>
          </w:p>
          <w:p w14:paraId="0D5D3727" w14:textId="27353DA0" w:rsidR="00CB6C0D" w:rsidRPr="00463436" w:rsidRDefault="00C463D6" w:rsidP="00C463D6">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Para el año 2024, se cuenta con una proyección del valor máximo de los honorarios mensuales, mientras que para 2025 la referencia normativa es la Resolución 060 del 17 de enero de ese año, que incluye la tabla de honorarios y sus equivalencias. Para 2026, la información está aún por definir.</w:t>
            </w:r>
          </w:p>
          <w:p w14:paraId="74C79CB8" w14:textId="1DC02F73" w:rsidR="00CB6C0D" w:rsidRPr="00463436" w:rsidRDefault="00CB6C0D" w:rsidP="00463436">
            <w:pPr>
              <w:jc w:val="both"/>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 xml:space="preserve">El </w:t>
            </w:r>
            <w:r w:rsidRPr="00463436">
              <w:rPr>
                <w:rFonts w:ascii="Verdana" w:eastAsia="MS Mincho" w:hAnsi="Verdana" w:cs="Arial"/>
                <w:b/>
                <w:bCs/>
                <w:iCs/>
                <w:color w:val="000000" w:themeColor="text1"/>
                <w:sz w:val="16"/>
                <w:szCs w:val="16"/>
              </w:rPr>
              <w:t>MINCIT</w:t>
            </w:r>
            <w:r w:rsidRPr="00463436">
              <w:rPr>
                <w:rFonts w:ascii="Verdana" w:eastAsia="MS Mincho" w:hAnsi="Verdana" w:cs="Arial"/>
                <w:iCs/>
                <w:color w:val="000000" w:themeColor="text1"/>
                <w:sz w:val="16"/>
                <w:szCs w:val="16"/>
              </w:rPr>
              <w:t xml:space="preserve"> actualizó y consolidó la tabla de honorarios para contratos de prestación de servicios profesionales y apoyo a la gestión: derogó las resoluciones de 2012 y 2022, fijó la tabla para 2024 (Resol. 1562/2023) y la ajustó para 2025 (Resol. 0060/2025). El proyecto de resolución más reciente introduce ajustes puntuales en categorías (tecnólogos y profesionales sin posgrado) por perfil, responsabilidad y obligaciones. </w:t>
            </w:r>
          </w:p>
          <w:p w14:paraId="352E2D26" w14:textId="676919ED" w:rsidR="00AA3C63" w:rsidRPr="00463436" w:rsidRDefault="00AA3C63" w:rsidP="00AA3C63">
            <w:pPr>
              <w:pStyle w:val="Heading2"/>
              <w:rPr>
                <w:rFonts w:ascii="Verdana" w:eastAsia="MS Mincho" w:hAnsi="Verdana" w:cs="Arial"/>
                <w:b/>
                <w:bCs/>
                <w:iCs/>
                <w:color w:val="000000" w:themeColor="text1"/>
                <w:sz w:val="16"/>
                <w:szCs w:val="16"/>
              </w:rPr>
            </w:pPr>
            <w:r w:rsidRPr="00463436">
              <w:rPr>
                <w:rFonts w:ascii="Verdana" w:eastAsia="MS Mincho" w:hAnsi="Verdana" w:cs="Arial"/>
                <w:b/>
                <w:bCs/>
                <w:iCs/>
                <w:color w:val="000000" w:themeColor="text1"/>
                <w:sz w:val="16"/>
                <w:szCs w:val="16"/>
              </w:rPr>
              <w:t>Publicación del Plan Anual de Adquisiciones (PAA)</w:t>
            </w:r>
          </w:p>
          <w:p w14:paraId="703F1661" w14:textId="77777777" w:rsidR="00AA3C63" w:rsidRPr="00463436" w:rsidRDefault="00AA3C63" w:rsidP="00463436">
            <w:pPr>
              <w:rPr>
                <w:rFonts w:ascii="Verdana" w:hAnsi="Verdana"/>
                <w:sz w:val="16"/>
                <w:szCs w:val="16"/>
              </w:rPr>
            </w:pPr>
          </w:p>
          <w:p w14:paraId="648F5551" w14:textId="77777777" w:rsidR="00AA3C63" w:rsidRPr="00463436" w:rsidRDefault="00AA3C63" w:rsidP="00AA3C63">
            <w:pPr>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La publicación puntual del Plan Anual de Adquisiciones (PAA) constituye una obligación legal que debe ser cumplida por todas las entidades estatales en los sistemas SECOP I o SECOP II. Este requisito garantiza la transparencia y la disponibilidad de la información sobre los procesos de adquisición que cada entidad proyecta para el año.</w:t>
            </w:r>
          </w:p>
          <w:p w14:paraId="60F743AE" w14:textId="77777777" w:rsidR="00AA3C63" w:rsidRPr="00463436" w:rsidRDefault="00AA3C63" w:rsidP="00AA3C63">
            <w:pPr>
              <w:pStyle w:val="Heading2"/>
              <w:rPr>
                <w:rFonts w:ascii="Verdana" w:eastAsia="MS Mincho" w:hAnsi="Verdana" w:cs="Arial"/>
                <w:b/>
                <w:bCs/>
                <w:iCs/>
                <w:color w:val="000000" w:themeColor="text1"/>
                <w:sz w:val="16"/>
                <w:szCs w:val="16"/>
              </w:rPr>
            </w:pPr>
            <w:r w:rsidRPr="00463436">
              <w:rPr>
                <w:rFonts w:ascii="Verdana" w:eastAsia="MS Mincho" w:hAnsi="Verdana" w:cs="Arial"/>
                <w:b/>
                <w:bCs/>
                <w:iCs/>
                <w:color w:val="000000" w:themeColor="text1"/>
                <w:sz w:val="16"/>
                <w:szCs w:val="16"/>
              </w:rPr>
              <w:t>Acceso a los PAA</w:t>
            </w:r>
          </w:p>
          <w:p w14:paraId="0A45689C" w14:textId="77777777" w:rsidR="00AA3C63" w:rsidRPr="00463436" w:rsidRDefault="00AA3C63" w:rsidP="00463436">
            <w:pPr>
              <w:rPr>
                <w:rFonts w:ascii="Verdana" w:hAnsi="Verdana"/>
                <w:sz w:val="16"/>
                <w:szCs w:val="16"/>
              </w:rPr>
            </w:pPr>
          </w:p>
          <w:p w14:paraId="5024E39D" w14:textId="77777777" w:rsidR="00AA3C63" w:rsidRPr="00463436" w:rsidRDefault="00AA3C63" w:rsidP="00463436">
            <w:pPr>
              <w:jc w:val="both"/>
              <w:rPr>
                <w:rFonts w:ascii="Verdana" w:eastAsia="MS Mincho" w:hAnsi="Verdana" w:cs="Arial"/>
                <w:iCs/>
                <w:color w:val="000000" w:themeColor="text1"/>
                <w:sz w:val="16"/>
                <w:szCs w:val="16"/>
              </w:rPr>
            </w:pPr>
            <w:r w:rsidRPr="00463436">
              <w:rPr>
                <w:rFonts w:ascii="Verdana" w:eastAsia="MS Mincho" w:hAnsi="Verdana" w:cs="Arial"/>
                <w:iCs/>
                <w:color w:val="000000" w:themeColor="text1"/>
                <w:sz w:val="16"/>
                <w:szCs w:val="16"/>
              </w:rPr>
              <w:t xml:space="preserve">Con el propósito de facilitar la consulta pública, Colombia Compra Eficiente ha implementado hipervínculos que permiten a los usuarios encontrar, en un único sitio, los Planes Anuales de Adquisiciones publicados por las entidades estatales. En el portal web de Colombia Compra Eficiente, los interesados pueden identificar fácilmente un ícono destinado a Proveedores, </w:t>
            </w:r>
            <w:r w:rsidRPr="00463436">
              <w:rPr>
                <w:rFonts w:ascii="Verdana" w:eastAsia="MS Mincho" w:hAnsi="Verdana" w:cs="Arial"/>
                <w:iCs/>
                <w:color w:val="000000" w:themeColor="text1"/>
                <w:sz w:val="16"/>
                <w:szCs w:val="16"/>
              </w:rPr>
              <w:lastRenderedPageBreak/>
              <w:t>desde el cual es posible visualizar los PAA correspondientes al año y acceder directamente a los documentos publicados en SECOP I y SECOP II.</w:t>
            </w:r>
          </w:p>
          <w:p w14:paraId="0C973F73" w14:textId="5B1ACD25" w:rsidR="00AA3C63" w:rsidRPr="00463436" w:rsidRDefault="00AA3C63" w:rsidP="00AA3C63">
            <w:pPr>
              <w:pStyle w:val="Heading2"/>
              <w:rPr>
                <w:rFonts w:ascii="Verdana" w:eastAsia="MS Mincho" w:hAnsi="Verdana" w:cs="Arial"/>
                <w:b/>
                <w:bCs/>
                <w:iCs/>
                <w:color w:val="000000" w:themeColor="text1"/>
                <w:sz w:val="16"/>
                <w:szCs w:val="16"/>
              </w:rPr>
            </w:pPr>
            <w:r w:rsidRPr="00463436">
              <w:rPr>
                <w:rFonts w:ascii="Verdana" w:eastAsia="MS Mincho" w:hAnsi="Verdana" w:cs="Arial"/>
                <w:b/>
                <w:bCs/>
                <w:iCs/>
                <w:color w:val="000000" w:themeColor="text1"/>
                <w:sz w:val="16"/>
                <w:szCs w:val="16"/>
              </w:rPr>
              <w:t>Consulta de PAA en SECOP II</w:t>
            </w:r>
          </w:p>
          <w:p w14:paraId="021DEF88" w14:textId="77777777" w:rsidR="00AA3C63" w:rsidRPr="00463436" w:rsidRDefault="00AA3C63" w:rsidP="00463436">
            <w:pPr>
              <w:jc w:val="both"/>
              <w:rPr>
                <w:rFonts w:ascii="Verdana" w:hAnsi="Verdana"/>
                <w:sz w:val="16"/>
                <w:szCs w:val="16"/>
              </w:rPr>
            </w:pPr>
          </w:p>
          <w:p w14:paraId="6D6C1C63" w14:textId="556EEA04" w:rsidR="007465FE" w:rsidRPr="00463436" w:rsidRDefault="00AA3C63" w:rsidP="00DE6ABC">
            <w:pPr>
              <w:jc w:val="both"/>
              <w:rPr>
                <w:rFonts w:ascii="Verdana" w:eastAsia="Times New Roman" w:hAnsi="Verdana" w:cs="Calibri"/>
                <w:color w:val="000000" w:themeColor="text1"/>
                <w:sz w:val="16"/>
                <w:szCs w:val="16"/>
                <w:lang w:eastAsia="es-CO"/>
              </w:rPr>
            </w:pPr>
            <w:r w:rsidRPr="00463436">
              <w:rPr>
                <w:rFonts w:ascii="Verdana" w:eastAsia="MS Mincho" w:hAnsi="Verdana" w:cs="Arial"/>
                <w:iCs/>
                <w:color w:val="000000" w:themeColor="text1"/>
                <w:sz w:val="16"/>
                <w:szCs w:val="16"/>
              </w:rPr>
              <w:t>Adicionalmente, el público cuenta con la posibilidad de acceder a los Planes Anuales de Adquisiciones directamente desde el menú principal de SECOP II. Basta con ingresar a la barra de inicio y seleccionar la opción "Plan Anual de Adquisiciones (PAA)", lo que permite una navegación ágil y el acceso directo a la información relevante.</w:t>
            </w:r>
          </w:p>
        </w:tc>
      </w:tr>
      <w:tr w:rsidR="006562E5" w:rsidRPr="00463436" w14:paraId="5FE1C98B" w14:textId="77777777" w:rsidTr="00DE6ABC">
        <w:trPr>
          <w:trHeight w:val="757"/>
          <w:jc w:val="center"/>
        </w:trPr>
        <w:tc>
          <w:tcPr>
            <w:tcW w:w="0" w:type="auto"/>
            <w:vMerge/>
            <w:vAlign w:val="center"/>
            <w:hideMark/>
          </w:tcPr>
          <w:p w14:paraId="2B00CB62" w14:textId="77777777" w:rsidR="007465FE" w:rsidRPr="00463436" w:rsidRDefault="007465FE" w:rsidP="00C768DC">
            <w:pPr>
              <w:spacing w:after="0" w:line="240" w:lineRule="auto"/>
              <w:rPr>
                <w:rFonts w:ascii="Verdana" w:eastAsia="Times New Roman" w:hAnsi="Verdana" w:cs="Calibri"/>
                <w:b/>
                <w:bCs/>
                <w:color w:val="000000" w:themeColor="text1"/>
                <w:sz w:val="16"/>
                <w:szCs w:val="16"/>
                <w:lang w:eastAsia="es-CO"/>
              </w:rPr>
            </w:pPr>
          </w:p>
        </w:tc>
        <w:tc>
          <w:tcPr>
            <w:tcW w:w="1898" w:type="dxa"/>
            <w:vAlign w:val="center"/>
            <w:hideMark/>
          </w:tcPr>
          <w:p w14:paraId="58874A63" w14:textId="77777777" w:rsidR="007465FE" w:rsidRPr="00463436" w:rsidRDefault="007465FE" w:rsidP="00C768DC">
            <w:pPr>
              <w:spacing w:after="0" w:line="240" w:lineRule="auto"/>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ANÁLISIS REGULATORIO</w:t>
            </w:r>
          </w:p>
          <w:p w14:paraId="593DA55C" w14:textId="0D2B8FA8" w:rsidR="00214CD1" w:rsidRPr="00463436" w:rsidRDefault="00AD23EA" w:rsidP="00C768DC">
            <w:pPr>
              <w:pStyle w:val="CommentText"/>
              <w:spacing w:after="0"/>
              <w:jc w:val="both"/>
              <w:rPr>
                <w:rFonts w:ascii="Verdana" w:hAnsi="Verdana"/>
                <w:color w:val="000000" w:themeColor="text1"/>
                <w:sz w:val="16"/>
                <w:szCs w:val="16"/>
              </w:rPr>
            </w:pPr>
            <w:r w:rsidRPr="00463436">
              <w:rPr>
                <w:rFonts w:ascii="Verdana" w:hAnsi="Verdana"/>
                <w:color w:val="000000" w:themeColor="text1"/>
                <w:sz w:val="16"/>
                <w:szCs w:val="16"/>
              </w:rPr>
              <w:t xml:space="preserve">(Identificar además de las leyes y normas aplicables al </w:t>
            </w:r>
            <w:r w:rsidR="00D872A0" w:rsidRPr="00463436">
              <w:rPr>
                <w:rFonts w:ascii="Verdana" w:hAnsi="Verdana"/>
                <w:color w:val="000000" w:themeColor="text1"/>
                <w:sz w:val="16"/>
                <w:szCs w:val="16"/>
              </w:rPr>
              <w:t>proceso</w:t>
            </w:r>
          </w:p>
          <w:p w14:paraId="2CFD9BC1" w14:textId="77777777" w:rsidR="00AD23EA" w:rsidRPr="00463436" w:rsidRDefault="00AD23EA" w:rsidP="00C768DC">
            <w:pPr>
              <w:pStyle w:val="CommentText"/>
              <w:spacing w:after="0"/>
              <w:jc w:val="both"/>
              <w:rPr>
                <w:rFonts w:ascii="Verdana" w:eastAsia="Times New Roman" w:hAnsi="Verdana" w:cs="Calibri"/>
                <w:b/>
                <w:bCs/>
                <w:color w:val="000000" w:themeColor="text1"/>
                <w:sz w:val="16"/>
                <w:szCs w:val="16"/>
                <w:lang w:eastAsia="es-CO"/>
              </w:rPr>
            </w:pPr>
            <w:r w:rsidRPr="00463436">
              <w:rPr>
                <w:rFonts w:ascii="Verdana" w:hAnsi="Verdana"/>
                <w:color w:val="000000" w:themeColor="text1"/>
                <w:sz w:val="16"/>
                <w:szCs w:val="16"/>
              </w:rPr>
              <w:t>o de contratación, el marco normativo que regula el bien y/o servicio que requiera (precios, ambientales, sociales, tributarios entre otros)</w:t>
            </w:r>
          </w:p>
        </w:tc>
        <w:tc>
          <w:tcPr>
            <w:tcW w:w="7241" w:type="dxa"/>
            <w:vAlign w:val="center"/>
            <w:hideMark/>
          </w:tcPr>
          <w:p w14:paraId="1D81A8FA" w14:textId="77777777" w:rsidR="00A71A90" w:rsidRPr="00463436" w:rsidRDefault="00A71A90" w:rsidP="008534E1">
            <w:pPr>
              <w:pStyle w:val="Default"/>
              <w:jc w:val="both"/>
              <w:rPr>
                <w:rFonts w:ascii="Verdana" w:hAnsi="Verdana"/>
                <w:b/>
                <w:bCs/>
                <w:color w:val="000000" w:themeColor="text1"/>
                <w:sz w:val="16"/>
                <w:szCs w:val="16"/>
                <w:lang w:val="es-ES"/>
              </w:rPr>
            </w:pPr>
          </w:p>
          <w:p w14:paraId="7CFCC852" w14:textId="54355819" w:rsidR="008534E1" w:rsidRPr="00463436" w:rsidRDefault="008534E1" w:rsidP="00463436">
            <w:pPr>
              <w:pStyle w:val="Default"/>
              <w:jc w:val="both"/>
              <w:rPr>
                <w:rFonts w:ascii="Verdana" w:hAnsi="Verdana"/>
                <w:color w:val="000000" w:themeColor="text1"/>
                <w:sz w:val="16"/>
                <w:szCs w:val="16"/>
                <w:lang w:val="es-ES"/>
              </w:rPr>
            </w:pPr>
            <w:r w:rsidRPr="00463436">
              <w:rPr>
                <w:rFonts w:ascii="Verdana" w:hAnsi="Verdana"/>
                <w:b/>
                <w:bCs/>
                <w:color w:val="000000" w:themeColor="text1"/>
                <w:sz w:val="16"/>
                <w:szCs w:val="16"/>
                <w:lang w:val="es-ES"/>
              </w:rPr>
              <w:t>PERSPECTIVA LEGAL:</w:t>
            </w:r>
            <w:r w:rsidRPr="00463436">
              <w:rPr>
                <w:rFonts w:ascii="Verdana" w:hAnsi="Verdana"/>
                <w:color w:val="000000" w:themeColor="text1"/>
                <w:sz w:val="16"/>
                <w:szCs w:val="16"/>
                <w:lang w:val="es-ES"/>
              </w:rPr>
              <w:t xml:space="preserve"> La regulación del ejercicio de las profesiones en Colombia tiene su fundamento en la Constitución Política de 1991, Artículo 26 que establece que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La estructura interna y el funcionamiento de estos deberán ser democráticos. La ley podrá asignarles funciones públicas y establecer los debidos controles.</w:t>
            </w:r>
          </w:p>
          <w:p w14:paraId="089DE5B5" w14:textId="77777777" w:rsidR="008534E1" w:rsidRPr="00463436" w:rsidRDefault="008534E1" w:rsidP="00463436">
            <w:pPr>
              <w:pStyle w:val="Default"/>
              <w:jc w:val="both"/>
              <w:rPr>
                <w:rFonts w:ascii="Verdana" w:hAnsi="Verdana"/>
                <w:color w:val="000000" w:themeColor="text1"/>
                <w:sz w:val="16"/>
                <w:szCs w:val="16"/>
                <w:lang w:val="es-ES"/>
              </w:rPr>
            </w:pPr>
          </w:p>
          <w:p w14:paraId="2C82043B" w14:textId="3589C6D6" w:rsidR="008534E1" w:rsidRPr="00463436" w:rsidRDefault="008534E1" w:rsidP="00463436">
            <w:pPr>
              <w:pStyle w:val="Default"/>
              <w:jc w:val="both"/>
              <w:rPr>
                <w:rFonts w:ascii="Verdana" w:hAnsi="Verdana"/>
                <w:color w:val="000000" w:themeColor="text1"/>
                <w:sz w:val="16"/>
                <w:szCs w:val="16"/>
                <w:lang w:val="es-ES"/>
              </w:rPr>
            </w:pPr>
            <w:r w:rsidRPr="00463436">
              <w:rPr>
                <w:rFonts w:ascii="Verdana" w:hAnsi="Verdana"/>
                <w:color w:val="000000" w:themeColor="text1"/>
                <w:sz w:val="16"/>
                <w:szCs w:val="16"/>
                <w:lang w:val="es-ES"/>
              </w:rPr>
              <w:t>Por otra parte, el Consejo de Estado, en relación con las diferencias que existen entre el Contrato de Prestación de Servicios Profesionales y el de Apoyo a la Gestión, estableció:</w:t>
            </w:r>
          </w:p>
          <w:p w14:paraId="12E91D1C" w14:textId="77777777" w:rsidR="008534E1" w:rsidRPr="00463436" w:rsidRDefault="008534E1" w:rsidP="00463436">
            <w:pPr>
              <w:pStyle w:val="Default"/>
              <w:jc w:val="both"/>
              <w:rPr>
                <w:rFonts w:ascii="Verdana" w:hAnsi="Verdana"/>
                <w:i/>
                <w:iCs/>
                <w:color w:val="000000" w:themeColor="text1"/>
                <w:sz w:val="16"/>
                <w:szCs w:val="16"/>
                <w:lang w:val="es-ES"/>
              </w:rPr>
            </w:pPr>
          </w:p>
          <w:p w14:paraId="140E6E33" w14:textId="019DD46A" w:rsidR="008534E1" w:rsidRPr="00463436" w:rsidRDefault="008534E1" w:rsidP="00463436">
            <w:pPr>
              <w:pStyle w:val="Default"/>
              <w:jc w:val="both"/>
              <w:rPr>
                <w:rFonts w:ascii="Verdana" w:hAnsi="Verdana"/>
                <w:i/>
                <w:iCs/>
                <w:color w:val="000000" w:themeColor="text1"/>
                <w:sz w:val="16"/>
                <w:szCs w:val="16"/>
                <w:lang w:val="es-ES"/>
              </w:rPr>
            </w:pPr>
            <w:r w:rsidRPr="00463436">
              <w:rPr>
                <w:rFonts w:ascii="Verdana" w:hAnsi="Verdana"/>
                <w:i/>
                <w:iCs/>
                <w:color w:val="000000" w:themeColor="text1"/>
                <w:sz w:val="16"/>
                <w:szCs w:val="16"/>
                <w:lang w:val="es-ES"/>
              </w:rPr>
              <w:t>“(…)serán entonces contratos de “prestación de servicios profesionales” todos aquellos cuyo objeto esté determinado materialmente por el desarrollo de actividades identificables e intangibles que impliquen el desempeño de un esfuerzo o actividad tendiente a satisfacer necesidades de las entidades estatales en lo relacionado con la gestión administrativa o funcionamiento que ellas requieran, bien sea acompañándolas, apoyándolas o soportándolas, al igual que a desarrollar estas mismas actividades en aras de proporcionar, aportar, apuntalar, reforzar la gestión administrativa o su funcionamiento con conocimientos especializados, siempre y cuando dichos objetos estén encomendados a personas catalogadas de acuerdo con el ordenamiento jurídico como profesionales. En suma, lo característico es el despliegue de actividades que demandan la aprehensión de competencias y habilidades propias de la formación profesional o especializada de la persona natural o jurídica, de manera que se trata de un saber intelectivo cualificado. (…) e) El contrato de prestación de servicios de simple apoyo a la gestión.</w:t>
            </w:r>
          </w:p>
          <w:p w14:paraId="08A668C2" w14:textId="77777777" w:rsidR="008534E1" w:rsidRPr="00463436" w:rsidRDefault="008534E1" w:rsidP="00463436">
            <w:pPr>
              <w:pStyle w:val="Default"/>
              <w:jc w:val="both"/>
              <w:rPr>
                <w:rFonts w:ascii="Verdana" w:hAnsi="Verdana"/>
                <w:i/>
                <w:iCs/>
                <w:color w:val="000000" w:themeColor="text1"/>
                <w:sz w:val="16"/>
                <w:szCs w:val="16"/>
                <w:lang w:val="es-ES"/>
              </w:rPr>
            </w:pPr>
          </w:p>
          <w:p w14:paraId="730D7FDD" w14:textId="77777777" w:rsidR="008534E1" w:rsidRPr="00463436" w:rsidRDefault="008534E1" w:rsidP="00463436">
            <w:pPr>
              <w:pStyle w:val="Default"/>
              <w:jc w:val="both"/>
              <w:rPr>
                <w:rFonts w:ascii="Verdana" w:hAnsi="Verdana"/>
                <w:i/>
                <w:iCs/>
                <w:color w:val="000000" w:themeColor="text1"/>
                <w:sz w:val="16"/>
                <w:szCs w:val="16"/>
                <w:lang w:val="es-ES"/>
              </w:rPr>
            </w:pPr>
            <w:r w:rsidRPr="00463436">
              <w:rPr>
                <w:rFonts w:ascii="Verdana" w:hAnsi="Verdana"/>
                <w:i/>
                <w:iCs/>
                <w:color w:val="000000" w:themeColor="text1"/>
                <w:sz w:val="16"/>
                <w:szCs w:val="16"/>
                <w:lang w:val="es-ES"/>
              </w:rPr>
              <w:t>“(…)se entiende entonces por contratos de “apoyo a la gestión” todos aquellos otros contratos de “prestación de servicios” que, compartiendo la misma conceptualización anterior, esto es, el desempeño de actividades identificables e intangibles, el legislador permite que sean celebrados por las entidades estatales pero cuya ejecución no requiere, en manera alguna, de acuerdo con las necesidades de la administración (previamente definidas en los procesos de planeación de la Entidad), de la presencia de personas profesionales o con conocimientos especializados.</w:t>
            </w:r>
          </w:p>
          <w:p w14:paraId="67EF33A0" w14:textId="77777777" w:rsidR="008534E1" w:rsidRPr="00463436" w:rsidRDefault="008534E1" w:rsidP="00463436">
            <w:pPr>
              <w:pStyle w:val="Default"/>
              <w:jc w:val="both"/>
              <w:rPr>
                <w:rFonts w:ascii="Verdana" w:hAnsi="Verdana"/>
                <w:i/>
                <w:iCs/>
                <w:color w:val="000000" w:themeColor="text1"/>
                <w:sz w:val="16"/>
                <w:szCs w:val="16"/>
                <w:lang w:val="es-ES"/>
              </w:rPr>
            </w:pPr>
          </w:p>
          <w:p w14:paraId="5E9C6228" w14:textId="77777777" w:rsidR="008534E1" w:rsidRPr="00463436" w:rsidRDefault="008534E1" w:rsidP="00463436">
            <w:pPr>
              <w:pStyle w:val="Default"/>
              <w:jc w:val="both"/>
              <w:rPr>
                <w:rFonts w:ascii="Verdana" w:hAnsi="Verdana"/>
                <w:i/>
                <w:iCs/>
                <w:color w:val="000000" w:themeColor="text1"/>
                <w:sz w:val="16"/>
                <w:szCs w:val="16"/>
                <w:lang w:val="es-ES"/>
              </w:rPr>
            </w:pPr>
            <w:r w:rsidRPr="00463436">
              <w:rPr>
                <w:rFonts w:ascii="Verdana" w:hAnsi="Verdana"/>
                <w:i/>
                <w:iCs/>
                <w:color w:val="000000" w:themeColor="text1"/>
                <w:sz w:val="16"/>
                <w:szCs w:val="16"/>
                <w:lang w:val="es-ES"/>
              </w:rPr>
              <w:t>Se trata entonces de los demás contratos de prestación de servicios, caracterizados por no ser profesionales o especializados, permitidos por el artículo 32 No 3º de la Ley 80 de 1993, esto es, que involucren cualesquiera otras actividades también identificables e intangibles que evidentemente sean requeridas por la entidad estatal y que impliquen el desempeño de un esfuerzo o actividad de apoyo, acompañamiento o soporte y de carácter, entre otros, técnico, operacional, logístico, etc., según el caso, que tienda a satisfacer necesidades de las entidades estatales en lo relacionado con la gestión administrativa o funcionamiento de la correspondiente entidad, pero sin que sean necesarios o esenciales los conocimientos profesionales o especializados para su ejecución, los cuales, como se ha advertido, se reservan exclusivamente para el “contrato de prestación de servicios profesionales”, y no para éstos de simple “apoyo a la gestión (…)”</w:t>
            </w:r>
          </w:p>
          <w:p w14:paraId="306E7AFD" w14:textId="77777777" w:rsidR="008534E1" w:rsidRPr="00463436" w:rsidRDefault="008534E1" w:rsidP="00463436">
            <w:pPr>
              <w:pStyle w:val="Default"/>
              <w:jc w:val="both"/>
              <w:rPr>
                <w:rFonts w:ascii="Verdana" w:hAnsi="Verdana"/>
                <w:i/>
                <w:iCs/>
                <w:color w:val="000000" w:themeColor="text1"/>
                <w:sz w:val="16"/>
                <w:szCs w:val="16"/>
                <w:lang w:val="es-ES"/>
              </w:rPr>
            </w:pPr>
          </w:p>
          <w:p w14:paraId="19710950" w14:textId="1EEAA3BA" w:rsidR="008534E1" w:rsidRPr="00463436" w:rsidRDefault="008534E1" w:rsidP="00463436">
            <w:pPr>
              <w:pStyle w:val="Default"/>
              <w:jc w:val="both"/>
              <w:rPr>
                <w:rFonts w:ascii="Verdana" w:hAnsi="Verdana"/>
                <w:i/>
                <w:iCs/>
                <w:color w:val="000000" w:themeColor="text1"/>
                <w:sz w:val="16"/>
                <w:szCs w:val="16"/>
                <w:lang w:val="es-ES"/>
              </w:rPr>
            </w:pPr>
            <w:r w:rsidRPr="00463436">
              <w:rPr>
                <w:rFonts w:ascii="Verdana" w:hAnsi="Verdana"/>
                <w:i/>
                <w:iCs/>
                <w:color w:val="000000" w:themeColor="text1"/>
                <w:sz w:val="16"/>
                <w:szCs w:val="16"/>
                <w:lang w:val="es-ES"/>
              </w:rPr>
              <w:t xml:space="preserve">Así las cosas, conviene, para mayor claridad expositiva, precisar que en el marco del contrato de simple prestación de servicios de apoyo a la gestión, las necesidades que pretenden ser satisfechas por la Administración no comprometen, en modo alguno las actividades que son </w:t>
            </w:r>
            <w:r w:rsidRPr="00463436">
              <w:rPr>
                <w:rFonts w:ascii="Verdana" w:hAnsi="Verdana"/>
                <w:i/>
                <w:iCs/>
                <w:color w:val="000000" w:themeColor="text1"/>
                <w:sz w:val="16"/>
                <w:szCs w:val="16"/>
                <w:lang w:val="es-ES"/>
              </w:rPr>
              <w:lastRenderedPageBreak/>
              <w:t>propias de conocimientos profesionales o especializados; aun así, ello no excluye que dentro de esta categoría conceptual se enmarquen actividades de carácter técnico las cuales, requiriendo un despliegue intelectivo, no recaen dentro del concepto de lo profesional, así como otras necesidades en donde, según las circunstancias, el objeto contractual demanda la ejecución de acciones preponderantemente físicas o mecánicas; es decir, se trata de una dualidad de actividades dentro del concepto “de simple apoyo a la gestión”; unas con acento intelectivo y otras dominadas por ejecuciones físicas o mecánicas. Lo distintivo, en todo caso, es que no requiere que sean cumplidas con personal profesional. (…)”.</w:t>
            </w:r>
            <w:r w:rsidRPr="00463436">
              <w:rPr>
                <w:rFonts w:ascii="Verdana" w:hAnsi="Verdana"/>
                <w:i/>
                <w:iCs/>
                <w:color w:val="000000" w:themeColor="text1"/>
                <w:sz w:val="16"/>
                <w:szCs w:val="16"/>
                <w:lang w:val="es-ES"/>
              </w:rPr>
              <w:footnoteReference w:id="1"/>
            </w:r>
          </w:p>
          <w:p w14:paraId="207F0DE4" w14:textId="77777777" w:rsidR="008534E1" w:rsidRPr="00463436" w:rsidRDefault="008534E1" w:rsidP="00463436">
            <w:pPr>
              <w:pStyle w:val="Default"/>
              <w:jc w:val="both"/>
              <w:rPr>
                <w:rFonts w:ascii="Verdana" w:hAnsi="Verdana"/>
                <w:color w:val="000000" w:themeColor="text1"/>
                <w:sz w:val="16"/>
                <w:szCs w:val="16"/>
                <w:lang w:val="es-ES"/>
              </w:rPr>
            </w:pPr>
          </w:p>
          <w:p w14:paraId="7824A6B0" w14:textId="2A97D969" w:rsidR="008534E1" w:rsidRPr="00463436" w:rsidRDefault="008534E1" w:rsidP="008534E1">
            <w:pPr>
              <w:pStyle w:val="Default"/>
              <w:jc w:val="both"/>
              <w:rPr>
                <w:rFonts w:ascii="Verdana" w:hAnsi="Verdana"/>
                <w:color w:val="000000" w:themeColor="text1"/>
                <w:sz w:val="16"/>
                <w:szCs w:val="16"/>
                <w:lang w:val="es-ES"/>
              </w:rPr>
            </w:pPr>
            <w:r w:rsidRPr="00463436">
              <w:rPr>
                <w:rFonts w:ascii="Verdana" w:hAnsi="Verdana"/>
                <w:color w:val="000000" w:themeColor="text1"/>
                <w:sz w:val="16"/>
                <w:szCs w:val="16"/>
                <w:lang w:val="es-ES"/>
              </w:rPr>
              <w:t>De acuerdo con lo anterior y acorde con las normas transcritas, se podrá contratar directamente la prestación de servicios profesionales o de apoyo a la gestión, con la persona natural o jurídica que esté en capacidad de ejecutar el objeto del contrato y acredite tener la idoneidad y experiencia directamente relacionada con el área de que se trate; entendiendo como tales los servicios de naturaleza intelectual diferentes a los de consultoría que se derivan del cumplimiento de las funciones de la entidad, así como los relacionados para el desarrollo de actividades operativas, logísticas o asistenciales.</w:t>
            </w:r>
          </w:p>
          <w:p w14:paraId="0D5F6E86" w14:textId="77777777" w:rsidR="008534E1" w:rsidRPr="00463436" w:rsidRDefault="008534E1" w:rsidP="00463436">
            <w:pPr>
              <w:pStyle w:val="Default"/>
              <w:jc w:val="both"/>
              <w:rPr>
                <w:rFonts w:ascii="Verdana" w:hAnsi="Verdana"/>
                <w:color w:val="000000" w:themeColor="text1"/>
                <w:sz w:val="16"/>
                <w:szCs w:val="16"/>
                <w:lang w:val="es-ES"/>
              </w:rPr>
            </w:pPr>
          </w:p>
          <w:p w14:paraId="0D36B55D" w14:textId="1E7C5106" w:rsidR="008534E1" w:rsidRPr="00463436" w:rsidRDefault="008534E1" w:rsidP="008534E1">
            <w:pPr>
              <w:pStyle w:val="Default"/>
              <w:jc w:val="both"/>
              <w:rPr>
                <w:rFonts w:ascii="Verdana" w:hAnsi="Verdana"/>
                <w:color w:val="000000" w:themeColor="text1"/>
                <w:sz w:val="16"/>
                <w:szCs w:val="16"/>
                <w:lang w:val="es-ES"/>
              </w:rPr>
            </w:pPr>
            <w:r w:rsidRPr="00463436">
              <w:rPr>
                <w:rFonts w:ascii="Verdana" w:hAnsi="Verdana"/>
                <w:b/>
                <w:bCs/>
                <w:color w:val="000000" w:themeColor="text1"/>
                <w:sz w:val="16"/>
                <w:szCs w:val="16"/>
                <w:lang w:val="es-ES"/>
              </w:rPr>
              <w:t>PERSPECTIVA COMERCIAL:</w:t>
            </w:r>
            <w:r w:rsidRPr="00463436">
              <w:rPr>
                <w:rFonts w:ascii="Verdana" w:hAnsi="Verdana"/>
                <w:color w:val="000000" w:themeColor="text1"/>
                <w:sz w:val="16"/>
                <w:szCs w:val="16"/>
                <w:lang w:val="es-ES"/>
              </w:rPr>
              <w:t xml:space="preserve"> El Código de Comercio establece: ARTÍCULO 1o. APLICABILIDAD DE LA LEY COMERCIAL. Los comerciantes y los asuntos mercantiles se regirán por las disposiciones de la ley comercial, y los casos no regulados expresamente en ella serán decididos por analogía de sus normas. A su vez el artículo 23 indica: ARTÍCULO 23. ACTOS QUE NO SON MERCANTILES. </w:t>
            </w:r>
            <w:bookmarkStart w:id="0" w:name="_Int_a85Vw93y"/>
            <w:r w:rsidRPr="00463436">
              <w:rPr>
                <w:rFonts w:ascii="Verdana" w:hAnsi="Verdana"/>
                <w:color w:val="000000" w:themeColor="text1"/>
                <w:sz w:val="16"/>
                <w:szCs w:val="16"/>
                <w:lang w:val="es-ES"/>
              </w:rPr>
              <w:t xml:space="preserve">No son mercantiles: 1) La adquisición de bienes con destino al consumo doméstico o al uso del adquirente y la enajenación de </w:t>
            </w:r>
            <w:proofErr w:type="gramStart"/>
            <w:r w:rsidRPr="00463436">
              <w:rPr>
                <w:rFonts w:ascii="Verdana" w:hAnsi="Verdana"/>
                <w:color w:val="000000" w:themeColor="text1"/>
                <w:sz w:val="16"/>
                <w:szCs w:val="16"/>
                <w:lang w:val="es-ES"/>
              </w:rPr>
              <w:t>los mismos</w:t>
            </w:r>
            <w:proofErr w:type="gramEnd"/>
            <w:r w:rsidRPr="00463436">
              <w:rPr>
                <w:rFonts w:ascii="Verdana" w:hAnsi="Verdana"/>
                <w:color w:val="000000" w:themeColor="text1"/>
                <w:sz w:val="16"/>
                <w:szCs w:val="16"/>
                <w:lang w:val="es-ES"/>
              </w:rPr>
              <w:t xml:space="preserve"> o de los sobrantes; 2) La adquisición de bienes para producir obras artísticas y la enajenación de éstas por su autor; 3) Las adquisiciones hechas por funcionarios o empleados para fines de servicio público; 4) Las enajenaciones que hagan directamente los agricultores o ganaderos de los frutos de sus cosechas o ganados, en su estado natural.</w:t>
            </w:r>
            <w:bookmarkEnd w:id="0"/>
            <w:r w:rsidRPr="00463436">
              <w:rPr>
                <w:rFonts w:ascii="Verdana" w:hAnsi="Verdana"/>
                <w:color w:val="000000" w:themeColor="text1"/>
                <w:sz w:val="16"/>
                <w:szCs w:val="16"/>
                <w:lang w:val="es-ES"/>
              </w:rPr>
              <w:t xml:space="preserve"> Tampoco serán mercantiles las actividades de transformación de tales frutos que efectúen los agricultores o ganaderos, siempre y cuando dicha transformación no constituya por sí misma una empresa, y 5) La prestación de servicios inherentes a las profesiones liberales. Según lo anterior, al futuro contratista no les aplica la ley comercial.</w:t>
            </w:r>
          </w:p>
          <w:p w14:paraId="087E2B59" w14:textId="77777777" w:rsidR="00A71A90" w:rsidRPr="00463436" w:rsidRDefault="00A71A90" w:rsidP="00463436">
            <w:pPr>
              <w:pStyle w:val="Default"/>
              <w:jc w:val="both"/>
              <w:rPr>
                <w:rFonts w:ascii="Verdana" w:hAnsi="Verdana"/>
                <w:color w:val="000000" w:themeColor="text1"/>
                <w:sz w:val="16"/>
                <w:szCs w:val="16"/>
                <w:lang w:val="es-ES"/>
              </w:rPr>
            </w:pPr>
          </w:p>
          <w:p w14:paraId="38097ED0" w14:textId="223D1408" w:rsidR="008534E1" w:rsidRPr="00463436" w:rsidRDefault="008534E1" w:rsidP="008534E1">
            <w:pPr>
              <w:pStyle w:val="Default"/>
              <w:jc w:val="both"/>
              <w:rPr>
                <w:rFonts w:ascii="Verdana" w:hAnsi="Verdana"/>
                <w:color w:val="000000" w:themeColor="text1"/>
                <w:sz w:val="16"/>
                <w:szCs w:val="16"/>
                <w:lang w:val="es-ES"/>
              </w:rPr>
            </w:pPr>
            <w:r w:rsidRPr="00463436">
              <w:rPr>
                <w:rFonts w:ascii="Verdana" w:hAnsi="Verdana"/>
                <w:b/>
                <w:bCs/>
                <w:color w:val="000000" w:themeColor="text1"/>
                <w:sz w:val="16"/>
                <w:szCs w:val="16"/>
                <w:lang w:val="es-ES"/>
              </w:rPr>
              <w:t>PERSPECTIVA FINANCIERA:</w:t>
            </w:r>
            <w:r w:rsidRPr="00463436">
              <w:rPr>
                <w:rFonts w:ascii="Verdana" w:hAnsi="Verdana"/>
                <w:color w:val="000000" w:themeColor="text1"/>
                <w:sz w:val="16"/>
                <w:szCs w:val="16"/>
                <w:lang w:val="es-ES"/>
              </w:rPr>
              <w:t xml:space="preserve"> Este aspecto es aplicable al futuro contratista que esté obligado a llevar y reportar estados financieros y demás características financieras.</w:t>
            </w:r>
          </w:p>
          <w:p w14:paraId="03CBA12E" w14:textId="77777777" w:rsidR="00A71A90" w:rsidRPr="00463436" w:rsidRDefault="00A71A90" w:rsidP="00463436">
            <w:pPr>
              <w:pStyle w:val="Default"/>
              <w:jc w:val="both"/>
              <w:rPr>
                <w:rFonts w:ascii="Verdana" w:hAnsi="Verdana"/>
                <w:color w:val="000000" w:themeColor="text1"/>
                <w:sz w:val="16"/>
                <w:szCs w:val="16"/>
                <w:lang w:val="es-ES"/>
              </w:rPr>
            </w:pPr>
          </w:p>
          <w:p w14:paraId="049A33E1" w14:textId="1C36459F" w:rsidR="008534E1" w:rsidRPr="00463436" w:rsidRDefault="008534E1" w:rsidP="008534E1">
            <w:pPr>
              <w:pStyle w:val="Default"/>
              <w:jc w:val="both"/>
              <w:rPr>
                <w:rFonts w:ascii="Verdana" w:hAnsi="Verdana"/>
                <w:color w:val="000000" w:themeColor="text1"/>
                <w:sz w:val="16"/>
                <w:szCs w:val="16"/>
                <w:lang w:val="es-ES"/>
              </w:rPr>
            </w:pPr>
            <w:r w:rsidRPr="00463436">
              <w:rPr>
                <w:rFonts w:ascii="Verdana" w:hAnsi="Verdana"/>
                <w:b/>
                <w:bCs/>
                <w:color w:val="000000" w:themeColor="text1"/>
                <w:sz w:val="16"/>
                <w:szCs w:val="16"/>
                <w:lang w:val="es-ES"/>
              </w:rPr>
              <w:t>PERSPECTIVA ORGANIZACIONAL:</w:t>
            </w:r>
            <w:r w:rsidRPr="00463436">
              <w:rPr>
                <w:rFonts w:ascii="Verdana" w:hAnsi="Verdana"/>
                <w:color w:val="000000" w:themeColor="text1"/>
                <w:sz w:val="16"/>
                <w:szCs w:val="16"/>
                <w:lang w:val="es-ES"/>
              </w:rPr>
              <w:t xml:space="preserve"> El artículo 6 de la ley 1150 de 2007 modificado por el artículo 221 del Decreto 019 de 2012 expresamente señala que: “De la verificación de las condiciones de los proponentes…No se requerirá de este requisito, ni de clasificación, en los casos de contratación directa…” Lo anterior no obsta para que la Entidad, desde el punto de vista de la eficiencia, eficacia y economía, verifique la información del futuro contratista respecto de la capacidad organizacional de la que dispone para la ejecución del contrato.</w:t>
            </w:r>
          </w:p>
          <w:p w14:paraId="6D8BE555" w14:textId="77777777" w:rsidR="00A71A90" w:rsidRPr="00463436" w:rsidRDefault="00A71A90" w:rsidP="00463436">
            <w:pPr>
              <w:pStyle w:val="Default"/>
              <w:jc w:val="both"/>
              <w:rPr>
                <w:rFonts w:ascii="Verdana" w:hAnsi="Verdana"/>
                <w:color w:val="000000" w:themeColor="text1"/>
                <w:sz w:val="16"/>
                <w:szCs w:val="16"/>
                <w:lang w:val="es-ES"/>
              </w:rPr>
            </w:pPr>
          </w:p>
          <w:p w14:paraId="2AC5027A" w14:textId="4E1A13D3" w:rsidR="008534E1" w:rsidRDefault="008534E1" w:rsidP="00463436">
            <w:pPr>
              <w:pStyle w:val="Default"/>
              <w:jc w:val="both"/>
              <w:rPr>
                <w:rFonts w:ascii="Verdana" w:hAnsi="Verdana"/>
                <w:color w:val="000000" w:themeColor="text1"/>
                <w:sz w:val="16"/>
                <w:szCs w:val="16"/>
                <w:lang w:val="es-ES"/>
              </w:rPr>
            </w:pPr>
            <w:r w:rsidRPr="00463436">
              <w:rPr>
                <w:rFonts w:ascii="Verdana" w:hAnsi="Verdana"/>
                <w:b/>
                <w:bCs/>
                <w:color w:val="000000" w:themeColor="text1"/>
                <w:sz w:val="16"/>
                <w:szCs w:val="16"/>
                <w:lang w:val="es-ES"/>
              </w:rPr>
              <w:t>PERSPECTIVA TÉCNICA:</w:t>
            </w:r>
            <w:r w:rsidRPr="00463436">
              <w:rPr>
                <w:rFonts w:ascii="Verdana" w:hAnsi="Verdana"/>
                <w:color w:val="000000" w:themeColor="text1"/>
                <w:sz w:val="16"/>
                <w:szCs w:val="16"/>
                <w:lang w:val="es-ES"/>
              </w:rPr>
              <w:t xml:space="preserve"> En el marco de las funciones del Ministerio de Comercio Industria y Turismo, establecidas en la Decreto 210 de 2003, por medio del cual se determinan los objetivos y la estructura orgánica del Ministerio de Comercio Industria y Turismo, de los Viceministerios y </w:t>
            </w:r>
            <w:bookmarkStart w:id="1" w:name="_Int_TDxEVFjP"/>
            <w:r w:rsidRPr="00463436">
              <w:rPr>
                <w:rFonts w:ascii="Verdana" w:hAnsi="Verdana"/>
                <w:color w:val="000000" w:themeColor="text1"/>
                <w:sz w:val="16"/>
                <w:szCs w:val="16"/>
                <w:lang w:val="es-ES"/>
              </w:rPr>
              <w:t>Secretaria General</w:t>
            </w:r>
            <w:bookmarkEnd w:id="1"/>
            <w:r w:rsidRPr="00463436">
              <w:rPr>
                <w:rFonts w:ascii="Verdana" w:hAnsi="Verdana"/>
                <w:color w:val="000000" w:themeColor="text1"/>
                <w:sz w:val="16"/>
                <w:szCs w:val="16"/>
                <w:lang w:val="es-ES"/>
              </w:rPr>
              <w:t xml:space="preserve"> en específico del Despacho del Ministro de Comercio, Industria y Turismo, con la presente contratación se pretende que la toma de decisiones en cierto tipo actuaciones administrativas, de procesos de selección con elevada cuantía o con objetos y alcance complejo; así como a la ejecución misma de cierto tipo de contratos involucran derechos de particulares y la ejecución de recursos públicos entre otros asuntos de especial trascendencia, cuenten con un alto nivel de confiabilidad.</w:t>
            </w:r>
          </w:p>
          <w:p w14:paraId="184D1315" w14:textId="6919A443" w:rsidR="007465FE" w:rsidRPr="00463436" w:rsidRDefault="007465FE" w:rsidP="00595A07">
            <w:pPr>
              <w:pStyle w:val="Default"/>
              <w:jc w:val="both"/>
              <w:rPr>
                <w:rFonts w:ascii="Verdana" w:hAnsi="Verdana"/>
                <w:color w:val="000000" w:themeColor="text1"/>
                <w:sz w:val="16"/>
                <w:szCs w:val="16"/>
                <w:lang w:val="es-ES"/>
              </w:rPr>
            </w:pPr>
          </w:p>
        </w:tc>
      </w:tr>
      <w:tr w:rsidR="006562E5" w:rsidRPr="00463436" w14:paraId="3BD2B07E" w14:textId="77777777" w:rsidTr="00DE6ABC">
        <w:trPr>
          <w:trHeight w:val="757"/>
          <w:jc w:val="center"/>
        </w:trPr>
        <w:tc>
          <w:tcPr>
            <w:tcW w:w="0" w:type="auto"/>
            <w:vMerge w:val="restart"/>
            <w:vAlign w:val="center"/>
            <w:hideMark/>
          </w:tcPr>
          <w:p w14:paraId="6863FA1A" w14:textId="59775513" w:rsidR="007465FE" w:rsidRPr="00463436" w:rsidRDefault="00CD49A7" w:rsidP="00C768DC">
            <w:pPr>
              <w:pStyle w:val="ListParagraph"/>
              <w:numPr>
                <w:ilvl w:val="0"/>
                <w:numId w:val="3"/>
              </w:numPr>
              <w:spacing w:after="0" w:line="240" w:lineRule="auto"/>
              <w:ind w:left="341"/>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lastRenderedPageBreak/>
              <w:t>CONDICIONES GENERALES DE EJECUCI</w:t>
            </w:r>
            <w:r w:rsidR="006562E5">
              <w:rPr>
                <w:rFonts w:ascii="Verdana" w:eastAsia="Times New Roman" w:hAnsi="Verdana" w:cs="Calibri"/>
                <w:b/>
                <w:bCs/>
                <w:color w:val="000000" w:themeColor="text1"/>
                <w:sz w:val="16"/>
                <w:szCs w:val="16"/>
                <w:lang w:eastAsia="es-CO"/>
              </w:rPr>
              <w:t>Ó</w:t>
            </w:r>
            <w:r w:rsidRPr="00463436">
              <w:rPr>
                <w:rFonts w:ascii="Verdana" w:eastAsia="Times New Roman" w:hAnsi="Verdana" w:cs="Calibri"/>
                <w:b/>
                <w:bCs/>
                <w:color w:val="000000" w:themeColor="text1"/>
                <w:sz w:val="16"/>
                <w:szCs w:val="16"/>
                <w:lang w:eastAsia="es-CO"/>
              </w:rPr>
              <w:t>N</w:t>
            </w:r>
          </w:p>
        </w:tc>
        <w:tc>
          <w:tcPr>
            <w:tcW w:w="1898" w:type="dxa"/>
            <w:vAlign w:val="center"/>
          </w:tcPr>
          <w:p w14:paraId="4BFD6F0B" w14:textId="3687B789" w:rsidR="007465FE" w:rsidRDefault="00595A07" w:rsidP="00C768DC">
            <w:pPr>
              <w:spacing w:after="0" w:line="240" w:lineRule="auto"/>
              <w:jc w:val="center"/>
              <w:rPr>
                <w:rFonts w:ascii="Verdana" w:eastAsia="Times New Roman" w:hAnsi="Verdana" w:cs="Calibri"/>
                <w:b/>
                <w:bCs/>
                <w:color w:val="000000" w:themeColor="text1"/>
                <w:sz w:val="16"/>
                <w:szCs w:val="16"/>
                <w:lang w:eastAsia="es-CO"/>
              </w:rPr>
            </w:pPr>
            <w:r>
              <w:rPr>
                <w:rFonts w:ascii="Verdana" w:eastAsia="Times New Roman" w:hAnsi="Verdana" w:cs="Calibri"/>
                <w:b/>
                <w:bCs/>
                <w:color w:val="000000" w:themeColor="text1"/>
                <w:sz w:val="16"/>
                <w:szCs w:val="16"/>
                <w:lang w:eastAsia="es-CO"/>
              </w:rPr>
              <w:t xml:space="preserve">JUSTIFICACIÓN PARA CONTRATOS FINANCIADOS CON </w:t>
            </w:r>
            <w:r>
              <w:rPr>
                <w:rFonts w:ascii="Verdana" w:eastAsia="Times New Roman" w:hAnsi="Verdana" w:cs="Calibri"/>
                <w:b/>
                <w:bCs/>
                <w:color w:val="000000" w:themeColor="text1"/>
                <w:sz w:val="16"/>
                <w:szCs w:val="16"/>
                <w:lang w:eastAsia="es-CO"/>
              </w:rPr>
              <w:lastRenderedPageBreak/>
              <w:t>RECURSOS DE INVERSIÓN</w:t>
            </w:r>
          </w:p>
          <w:p w14:paraId="5E7E9E8C" w14:textId="640AC1E9" w:rsidR="00595A07" w:rsidRPr="00DE6ABC" w:rsidRDefault="00595A07" w:rsidP="00C768DC">
            <w:pPr>
              <w:spacing w:after="0" w:line="240" w:lineRule="auto"/>
              <w:jc w:val="center"/>
              <w:rPr>
                <w:rFonts w:ascii="Verdana" w:eastAsia="Times New Roman" w:hAnsi="Verdana" w:cs="Calibri"/>
                <w:b/>
                <w:bCs/>
                <w:color w:val="EE0000"/>
                <w:sz w:val="16"/>
                <w:szCs w:val="16"/>
                <w:lang w:eastAsia="es-CO"/>
              </w:rPr>
            </w:pPr>
            <w:r>
              <w:rPr>
                <w:rFonts w:ascii="Verdana" w:eastAsia="Times New Roman" w:hAnsi="Verdana" w:cs="Calibri"/>
                <w:b/>
                <w:bCs/>
                <w:color w:val="EE0000"/>
                <w:sz w:val="16"/>
                <w:szCs w:val="16"/>
                <w:lang w:eastAsia="es-CO"/>
              </w:rPr>
              <w:t>(</w:t>
            </w:r>
            <w:r w:rsidR="002A26F6">
              <w:rPr>
                <w:rFonts w:ascii="Verdana" w:eastAsia="Times New Roman" w:hAnsi="Verdana" w:cs="Calibri"/>
                <w:b/>
                <w:bCs/>
                <w:color w:val="EE0000"/>
                <w:sz w:val="16"/>
                <w:szCs w:val="16"/>
                <w:lang w:eastAsia="es-CO"/>
              </w:rPr>
              <w:t>En caso de que</w:t>
            </w:r>
            <w:r w:rsidR="006562E5">
              <w:rPr>
                <w:rFonts w:ascii="Verdana" w:eastAsia="Times New Roman" w:hAnsi="Verdana" w:cs="Calibri"/>
                <w:b/>
                <w:bCs/>
                <w:color w:val="EE0000"/>
                <w:sz w:val="16"/>
                <w:szCs w:val="16"/>
                <w:lang w:eastAsia="es-CO"/>
              </w:rPr>
              <w:t xml:space="preserve"> </w:t>
            </w:r>
            <w:r>
              <w:rPr>
                <w:rFonts w:ascii="Verdana" w:eastAsia="Times New Roman" w:hAnsi="Verdana" w:cs="Calibri"/>
                <w:b/>
                <w:bCs/>
                <w:color w:val="EE0000"/>
                <w:sz w:val="16"/>
                <w:szCs w:val="16"/>
                <w:lang w:eastAsia="es-CO"/>
              </w:rPr>
              <w:t>aplique, de lo contrario eliminar)</w:t>
            </w:r>
          </w:p>
        </w:tc>
        <w:tc>
          <w:tcPr>
            <w:tcW w:w="7241" w:type="dxa"/>
            <w:vAlign w:val="center"/>
          </w:tcPr>
          <w:p w14:paraId="1006890F" w14:textId="482F92FF" w:rsidR="00595A07" w:rsidRPr="00DE6ABC" w:rsidRDefault="00595A07" w:rsidP="00595A07">
            <w:pPr>
              <w:tabs>
                <w:tab w:val="left" w:pos="8364"/>
              </w:tabs>
              <w:spacing w:after="0"/>
              <w:ind w:right="-142"/>
              <w:jc w:val="both"/>
              <w:rPr>
                <w:rFonts w:ascii="Verdana" w:hAnsi="Verdana" w:cs="Arial"/>
                <w:bCs/>
                <w:sz w:val="16"/>
                <w:szCs w:val="16"/>
              </w:rPr>
            </w:pPr>
            <w:r w:rsidRPr="00DE6ABC">
              <w:rPr>
                <w:rFonts w:ascii="Verdana" w:hAnsi="Verdana" w:cs="Arial"/>
                <w:bCs/>
                <w:sz w:val="16"/>
                <w:szCs w:val="16"/>
              </w:rPr>
              <w:lastRenderedPageBreak/>
              <w:t xml:space="preserve">Tal como se expuso en la justificación de la necesidad, la contratación requerida es con el fin de apoyar el cumplimiento de las metas previstas en lo que resta de la vigencia </w:t>
            </w:r>
            <w:r>
              <w:rPr>
                <w:rFonts w:ascii="Verdana" w:hAnsi="Verdana" w:cs="Arial"/>
                <w:bCs/>
                <w:sz w:val="16"/>
                <w:szCs w:val="16"/>
              </w:rPr>
              <w:t>(</w:t>
            </w:r>
            <w:r>
              <w:rPr>
                <w:rFonts w:ascii="Verdana" w:hAnsi="Verdana" w:cs="Arial"/>
                <w:bCs/>
                <w:color w:val="EE0000"/>
                <w:sz w:val="16"/>
                <w:szCs w:val="16"/>
              </w:rPr>
              <w:t>indicar vigencia)</w:t>
            </w:r>
            <w:r w:rsidRPr="00DE6ABC">
              <w:rPr>
                <w:rFonts w:ascii="Verdana" w:hAnsi="Verdana" w:cs="Arial"/>
                <w:bCs/>
                <w:sz w:val="16"/>
                <w:szCs w:val="16"/>
              </w:rPr>
              <w:t xml:space="preserve"> en el marco del proyecto de inversión mencionado, relacionadas a su vez con los propósitos del gobierno nacional previstos en el Plan Nacional de Desarrollo </w:t>
            </w:r>
            <w:r w:rsidR="00C963D8">
              <w:rPr>
                <w:rFonts w:ascii="Verdana" w:hAnsi="Verdana" w:cs="Arial"/>
                <w:bCs/>
                <w:color w:val="EE0000"/>
                <w:sz w:val="16"/>
                <w:szCs w:val="16"/>
              </w:rPr>
              <w:t xml:space="preserve">(indicar </w:t>
            </w:r>
            <w:r w:rsidR="00487874">
              <w:rPr>
                <w:rFonts w:ascii="Verdana" w:hAnsi="Verdana" w:cs="Arial"/>
                <w:bCs/>
                <w:color w:val="EE0000"/>
                <w:sz w:val="16"/>
                <w:szCs w:val="16"/>
              </w:rPr>
              <w:t xml:space="preserve">periodo </w:t>
            </w:r>
            <w:r w:rsidR="00C963D8">
              <w:rPr>
                <w:rFonts w:ascii="Verdana" w:hAnsi="Verdana" w:cs="Arial"/>
                <w:bCs/>
                <w:color w:val="EE0000"/>
                <w:sz w:val="16"/>
                <w:szCs w:val="16"/>
              </w:rPr>
              <w:t>de</w:t>
            </w:r>
            <w:r w:rsidR="004F59B2">
              <w:rPr>
                <w:rFonts w:ascii="Verdana" w:hAnsi="Verdana" w:cs="Arial"/>
                <w:bCs/>
                <w:color w:val="EE0000"/>
                <w:sz w:val="16"/>
                <w:szCs w:val="16"/>
              </w:rPr>
              <w:t>l plan</w:t>
            </w:r>
            <w:r w:rsidR="00C963D8">
              <w:rPr>
                <w:rFonts w:ascii="Verdana" w:hAnsi="Verdana" w:cs="Arial"/>
                <w:bCs/>
                <w:color w:val="EE0000"/>
                <w:sz w:val="16"/>
                <w:szCs w:val="16"/>
              </w:rPr>
              <w:t>)</w:t>
            </w:r>
            <w:r w:rsidRPr="00DE6ABC">
              <w:rPr>
                <w:rFonts w:ascii="Verdana" w:hAnsi="Verdana" w:cs="Arial"/>
                <w:bCs/>
                <w:sz w:val="16"/>
                <w:szCs w:val="16"/>
              </w:rPr>
              <w:t>. La información específica del proyecto de inversión, para el presente caso, es la siguiente:</w:t>
            </w:r>
          </w:p>
          <w:p w14:paraId="65C4B18E" w14:textId="77777777" w:rsidR="00595A07" w:rsidRPr="00DE6ABC" w:rsidRDefault="00595A07" w:rsidP="00595A07">
            <w:pPr>
              <w:tabs>
                <w:tab w:val="left" w:pos="8364"/>
              </w:tabs>
              <w:spacing w:after="0"/>
              <w:ind w:right="-142"/>
              <w:jc w:val="both"/>
              <w:rPr>
                <w:rFonts w:ascii="Verdana" w:hAnsi="Verdana" w:cs="Arial"/>
                <w:bCs/>
                <w:sz w:val="16"/>
                <w:szCs w:val="16"/>
              </w:rPr>
            </w:pPr>
          </w:p>
          <w:p w14:paraId="45DC7BC3" w14:textId="77777777" w:rsidR="00595A07" w:rsidRPr="00DE6ABC" w:rsidRDefault="00595A07" w:rsidP="00595A07">
            <w:pPr>
              <w:pStyle w:val="Default"/>
              <w:jc w:val="both"/>
              <w:rPr>
                <w:rFonts w:ascii="Verdana" w:hAnsi="Verdana"/>
                <w:color w:val="auto"/>
                <w:sz w:val="16"/>
                <w:szCs w:val="16"/>
                <w:lang w:val="es-ES"/>
              </w:rPr>
            </w:pPr>
            <w:r w:rsidRPr="00DE6ABC">
              <w:rPr>
                <w:rFonts w:ascii="Verdana" w:hAnsi="Verdana"/>
                <w:bCs/>
                <w:color w:val="auto"/>
                <w:sz w:val="16"/>
                <w:szCs w:val="16"/>
              </w:rPr>
              <w:lastRenderedPageBreak/>
              <w:t xml:space="preserve">Proyecto de Inversión: </w:t>
            </w:r>
            <w:proofErr w:type="spellStart"/>
            <w:r w:rsidRPr="00DE6ABC">
              <w:rPr>
                <w:rFonts w:ascii="Verdana" w:hAnsi="Verdana"/>
                <w:bCs/>
                <w:color w:val="auto"/>
                <w:sz w:val="16"/>
                <w:szCs w:val="16"/>
              </w:rPr>
              <w:t>xxxxxxxx</w:t>
            </w:r>
            <w:proofErr w:type="spellEnd"/>
            <w:r w:rsidRPr="00DE6ABC">
              <w:rPr>
                <w:rFonts w:ascii="Verdana" w:hAnsi="Verdana"/>
                <w:bCs/>
                <w:color w:val="auto"/>
                <w:sz w:val="16"/>
                <w:szCs w:val="16"/>
              </w:rPr>
              <w:t xml:space="preserve"> identificado con el código BPIN </w:t>
            </w:r>
            <w:proofErr w:type="spellStart"/>
            <w:r w:rsidRPr="00DE6ABC">
              <w:rPr>
                <w:rFonts w:ascii="Verdana" w:hAnsi="Verdana"/>
                <w:bCs/>
                <w:color w:val="auto"/>
                <w:sz w:val="16"/>
                <w:szCs w:val="16"/>
              </w:rPr>
              <w:t>xxxxxx</w:t>
            </w:r>
            <w:proofErr w:type="spellEnd"/>
            <w:r w:rsidRPr="00DE6ABC">
              <w:rPr>
                <w:rFonts w:ascii="Verdana" w:hAnsi="Verdana"/>
                <w:bCs/>
                <w:color w:val="auto"/>
                <w:sz w:val="16"/>
                <w:szCs w:val="16"/>
              </w:rPr>
              <w:t>, que tiene como objetivo específico, entre otros, “</w:t>
            </w:r>
            <w:proofErr w:type="spellStart"/>
            <w:r w:rsidRPr="00DE6ABC">
              <w:rPr>
                <w:rFonts w:ascii="Verdana" w:hAnsi="Verdana"/>
                <w:bCs/>
                <w:color w:val="auto"/>
                <w:sz w:val="16"/>
                <w:szCs w:val="16"/>
              </w:rPr>
              <w:t>xxxxxx</w:t>
            </w:r>
            <w:proofErr w:type="spellEnd"/>
            <w:r w:rsidRPr="00DE6ABC">
              <w:rPr>
                <w:rFonts w:ascii="Verdana" w:hAnsi="Verdana"/>
                <w:bCs/>
                <w:color w:val="auto"/>
                <w:sz w:val="16"/>
                <w:szCs w:val="16"/>
              </w:rPr>
              <w:t>” el cual se ejecuta, entre otras, mediante la actividad: “</w:t>
            </w:r>
            <w:proofErr w:type="spellStart"/>
            <w:r w:rsidRPr="00DE6ABC">
              <w:rPr>
                <w:rFonts w:ascii="Verdana" w:hAnsi="Verdana"/>
                <w:bCs/>
                <w:color w:val="auto"/>
                <w:sz w:val="16"/>
                <w:szCs w:val="16"/>
              </w:rPr>
              <w:t>xxxxxxxx</w:t>
            </w:r>
            <w:proofErr w:type="spellEnd"/>
            <w:r w:rsidRPr="00DE6ABC">
              <w:rPr>
                <w:rFonts w:ascii="Verdana" w:hAnsi="Verdana"/>
                <w:bCs/>
                <w:color w:val="auto"/>
                <w:sz w:val="16"/>
                <w:szCs w:val="16"/>
              </w:rPr>
              <w:t>”, definida como “</w:t>
            </w:r>
            <w:proofErr w:type="spellStart"/>
            <w:r w:rsidRPr="00DE6ABC">
              <w:rPr>
                <w:rFonts w:ascii="Verdana" w:hAnsi="Verdana"/>
                <w:bCs/>
                <w:color w:val="auto"/>
                <w:sz w:val="16"/>
                <w:szCs w:val="16"/>
              </w:rPr>
              <w:t>xxxxxx</w:t>
            </w:r>
            <w:proofErr w:type="spellEnd"/>
            <w:r w:rsidRPr="00DE6ABC">
              <w:rPr>
                <w:rFonts w:ascii="Verdana" w:hAnsi="Verdana"/>
                <w:b/>
                <w:bCs/>
                <w:color w:val="auto"/>
                <w:sz w:val="16"/>
                <w:szCs w:val="16"/>
              </w:rPr>
              <w:t>.</w:t>
            </w:r>
            <w:r w:rsidRPr="00DE6ABC">
              <w:rPr>
                <w:rFonts w:ascii="Verdana" w:hAnsi="Verdana"/>
                <w:bCs/>
                <w:color w:val="auto"/>
                <w:sz w:val="16"/>
                <w:szCs w:val="16"/>
              </w:rPr>
              <w:t>”</w:t>
            </w:r>
          </w:p>
          <w:p w14:paraId="5D8E6C04" w14:textId="38FB35FA" w:rsidR="00DC19D7" w:rsidRPr="00463436" w:rsidRDefault="00DC19D7" w:rsidP="00C768DC">
            <w:pPr>
              <w:spacing w:after="0" w:line="240" w:lineRule="auto"/>
              <w:rPr>
                <w:rFonts w:ascii="Verdana" w:eastAsia="Times New Roman" w:hAnsi="Verdana" w:cs="Calibri"/>
                <w:color w:val="000000" w:themeColor="text1"/>
                <w:sz w:val="16"/>
                <w:szCs w:val="16"/>
                <w:lang w:eastAsia="es-CO"/>
              </w:rPr>
            </w:pPr>
          </w:p>
        </w:tc>
      </w:tr>
      <w:tr w:rsidR="006562E5" w:rsidRPr="00463436" w14:paraId="2E817FF1" w14:textId="77777777" w:rsidTr="00DE6ABC">
        <w:trPr>
          <w:trHeight w:val="1223"/>
          <w:jc w:val="center"/>
        </w:trPr>
        <w:tc>
          <w:tcPr>
            <w:tcW w:w="0" w:type="auto"/>
            <w:vMerge/>
            <w:vAlign w:val="center"/>
            <w:hideMark/>
          </w:tcPr>
          <w:p w14:paraId="1CC99FDA" w14:textId="77777777" w:rsidR="007465FE" w:rsidRPr="00463436" w:rsidRDefault="007465FE" w:rsidP="00C768DC">
            <w:pPr>
              <w:spacing w:after="0" w:line="240" w:lineRule="auto"/>
              <w:rPr>
                <w:rFonts w:ascii="Verdana" w:eastAsia="Times New Roman" w:hAnsi="Verdana" w:cs="Calibri"/>
                <w:b/>
                <w:bCs/>
                <w:color w:val="000000" w:themeColor="text1"/>
                <w:sz w:val="16"/>
                <w:szCs w:val="16"/>
                <w:lang w:eastAsia="es-CO"/>
              </w:rPr>
            </w:pPr>
          </w:p>
        </w:tc>
        <w:tc>
          <w:tcPr>
            <w:tcW w:w="1898" w:type="dxa"/>
            <w:vAlign w:val="center"/>
          </w:tcPr>
          <w:p w14:paraId="4DD3434F" w14:textId="2E7E38F4" w:rsidR="00AD23EA" w:rsidRPr="00463436" w:rsidRDefault="00A71A90" w:rsidP="00463436">
            <w:pPr>
              <w:pStyle w:val="CommentText"/>
              <w:spacing w:after="0"/>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CRITERIO DE SELECCIÓN DEL CONTRATISTA</w:t>
            </w:r>
          </w:p>
        </w:tc>
        <w:tc>
          <w:tcPr>
            <w:tcW w:w="7241" w:type="dxa"/>
            <w:vAlign w:val="center"/>
          </w:tcPr>
          <w:p w14:paraId="66F3537F" w14:textId="04ED0360" w:rsidR="00A71A90" w:rsidRPr="00463436" w:rsidRDefault="00A71A90" w:rsidP="00463436">
            <w:pPr>
              <w:spacing w:after="0" w:line="240" w:lineRule="auto"/>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De acuerdo con lo señalado en el artículo 2.2.1.2.1.4.9 del Decreto 1082 de 2015, la contratación directa de servicios profesionales se hace con la persona natural que esté en capacidad de ejecutar el objeto del contrato, siempre y cuando la entidad estatal verifique la idoneidad o experiencia requerida y relacionada con el área de que se trate.</w:t>
            </w:r>
          </w:p>
          <w:p w14:paraId="1DBB10AD" w14:textId="77777777" w:rsidR="00A71A90" w:rsidRPr="00463436" w:rsidRDefault="00A71A90" w:rsidP="00463436">
            <w:pPr>
              <w:spacing w:after="0" w:line="240" w:lineRule="auto"/>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cr/>
              <w:t xml:space="preserve">De acuerdo con el numeral 3 del artículo 32 de la Ley 80 de 1993, los contratos de prestación de servicios son los que se celebran para desarrollar actividades relacionadas con la administración o funcionamiento de la entidad. El artículo 2.2.1.2.1.4.9 del Decreto 1082 de 2013 señala que las Entidades Estatales pueden contratar bajo la modalidad de contratación directa la prestación de servicios profesionales con la persona natural o jurídica que esté en capacidad de ejecutar el objeto del contrato, y define que los servicios profesionales corresponden a aquellos de naturaleza intelectual diferentes a los de consultoría que se derivan del cumplimiento de las funciones de la entidad estatal, así como los relacionados con actividades operativas, logísticas, o asistenciales. </w:t>
            </w:r>
          </w:p>
          <w:p w14:paraId="730A07C7" w14:textId="77777777" w:rsidR="00A71A90" w:rsidRPr="00463436" w:rsidRDefault="00A71A90" w:rsidP="00463436">
            <w:pPr>
              <w:spacing w:after="0" w:line="240" w:lineRule="auto"/>
              <w:jc w:val="both"/>
              <w:rPr>
                <w:rFonts w:ascii="Verdana" w:eastAsia="Times New Roman" w:hAnsi="Verdana" w:cs="Calibri"/>
                <w:color w:val="000000" w:themeColor="text1"/>
                <w:sz w:val="16"/>
                <w:szCs w:val="16"/>
                <w:lang w:eastAsia="es-CO"/>
              </w:rPr>
            </w:pPr>
          </w:p>
          <w:p w14:paraId="3CCA0DD5" w14:textId="5217B866" w:rsidR="00A11AF3" w:rsidRPr="00463436" w:rsidRDefault="00A71A90" w:rsidP="00463436">
            <w:pPr>
              <w:spacing w:after="0" w:line="240" w:lineRule="auto"/>
              <w:jc w:val="both"/>
              <w:rPr>
                <w:rFonts w:ascii="Verdana" w:eastAsia="Times New Roman" w:hAnsi="Verdana" w:cs="Calibri"/>
                <w:color w:val="000000" w:themeColor="text1"/>
                <w:sz w:val="16"/>
                <w:szCs w:val="16"/>
                <w:lang w:eastAsia="es-CO"/>
              </w:rPr>
            </w:pPr>
            <w:r w:rsidRPr="00463436">
              <w:rPr>
                <w:rFonts w:ascii="Verdana" w:eastAsia="Times New Roman" w:hAnsi="Verdana" w:cs="Calibri"/>
                <w:color w:val="000000" w:themeColor="text1"/>
                <w:sz w:val="16"/>
                <w:szCs w:val="16"/>
                <w:lang w:eastAsia="es-CO"/>
              </w:rPr>
              <w:t>El proceso de selección de la contratación directa y el futuro contrato que se suscriba como consecuencia del mismo se regirán en lo pertinente por la Ley 80 de 1993, la Ley 1150 de 2007, la Ley 1474 de 2011, Decreto 1082 de 2015 y demás normas que los modifiquen, adicionen o complementen y se desarrollará con arreglo a los principios consagrados en el artículo 209 de la Constitución Política, en el Código Contencioso Administrativo – Ley 1437 de 2011, las disposiciones del Código Civil y el Código de Comercio en lo pertinente.</w:t>
            </w:r>
          </w:p>
        </w:tc>
      </w:tr>
      <w:tr w:rsidR="006562E5" w:rsidRPr="00463436" w14:paraId="2E855EFB" w14:textId="77777777" w:rsidTr="00DE6ABC">
        <w:trPr>
          <w:trHeight w:val="1223"/>
          <w:jc w:val="center"/>
        </w:trPr>
        <w:tc>
          <w:tcPr>
            <w:tcW w:w="3529" w:type="dxa"/>
            <w:gridSpan w:val="2"/>
            <w:vAlign w:val="center"/>
            <w:hideMark/>
          </w:tcPr>
          <w:p w14:paraId="0B689B6C" w14:textId="33082AE5" w:rsidR="00176FE0" w:rsidRPr="00463436" w:rsidRDefault="00176FE0" w:rsidP="00C768DC">
            <w:pPr>
              <w:pStyle w:val="ListParagraph"/>
              <w:numPr>
                <w:ilvl w:val="0"/>
                <w:numId w:val="3"/>
              </w:numPr>
              <w:spacing w:after="0" w:line="240" w:lineRule="auto"/>
              <w:ind w:left="341"/>
              <w:jc w:val="center"/>
              <w:rPr>
                <w:rFonts w:ascii="Verdana" w:eastAsia="Times New Roman" w:hAnsi="Verdana" w:cs="Calibri"/>
                <w:b/>
                <w:bCs/>
                <w:color w:val="000000" w:themeColor="text1"/>
                <w:sz w:val="16"/>
                <w:szCs w:val="16"/>
                <w:lang w:eastAsia="es-CO"/>
              </w:rPr>
            </w:pPr>
            <w:r w:rsidRPr="00463436">
              <w:rPr>
                <w:rFonts w:ascii="Verdana" w:eastAsia="Times New Roman" w:hAnsi="Verdana" w:cs="Calibri"/>
                <w:b/>
                <w:bCs/>
                <w:color w:val="000000" w:themeColor="text1"/>
                <w:sz w:val="16"/>
                <w:szCs w:val="16"/>
                <w:lang w:eastAsia="es-CO"/>
              </w:rPr>
              <w:t xml:space="preserve">ESTUDIO DE LA </w:t>
            </w:r>
            <w:r>
              <w:rPr>
                <w:rFonts w:ascii="Verdana" w:eastAsia="Times New Roman" w:hAnsi="Verdana" w:cs="Calibri"/>
                <w:b/>
                <w:bCs/>
                <w:color w:val="000000" w:themeColor="text1"/>
                <w:sz w:val="16"/>
                <w:szCs w:val="16"/>
                <w:lang w:eastAsia="es-CO"/>
              </w:rPr>
              <w:t>OFERTA</w:t>
            </w:r>
          </w:p>
          <w:p w14:paraId="2C060B80" w14:textId="5B626F94" w:rsidR="00176FE0" w:rsidRDefault="00176FE0" w:rsidP="00C768DC">
            <w:pPr>
              <w:spacing w:after="0" w:line="240" w:lineRule="auto"/>
              <w:jc w:val="center"/>
              <w:rPr>
                <w:rFonts w:ascii="Verdana" w:eastAsia="Times New Roman" w:hAnsi="Verdana" w:cs="Calibri"/>
                <w:b/>
                <w:bCs/>
                <w:color w:val="000000" w:themeColor="text1"/>
                <w:sz w:val="16"/>
                <w:szCs w:val="16"/>
                <w:lang w:eastAsia="es-CO"/>
              </w:rPr>
            </w:pPr>
          </w:p>
          <w:p w14:paraId="1FCB8255" w14:textId="014630E7" w:rsidR="00176FE0" w:rsidRPr="00DE6ABC" w:rsidRDefault="006562E5" w:rsidP="00C768DC">
            <w:pPr>
              <w:spacing w:after="0" w:line="240" w:lineRule="auto"/>
              <w:jc w:val="center"/>
              <w:rPr>
                <w:rFonts w:ascii="Verdana" w:eastAsia="Times New Roman" w:hAnsi="Verdana" w:cs="Calibri"/>
                <w:b/>
                <w:bCs/>
                <w:color w:val="EE0000"/>
                <w:sz w:val="16"/>
                <w:szCs w:val="16"/>
                <w:lang w:eastAsia="es-CO"/>
              </w:rPr>
            </w:pPr>
            <w:r>
              <w:rPr>
                <w:rFonts w:ascii="Verdana" w:eastAsia="Times New Roman" w:hAnsi="Verdana" w:cs="Calibri"/>
                <w:b/>
                <w:bCs/>
                <w:color w:val="EE0000"/>
                <w:sz w:val="16"/>
                <w:szCs w:val="16"/>
                <w:lang w:eastAsia="es-CO"/>
              </w:rPr>
              <w:t>(</w:t>
            </w:r>
            <w:r w:rsidR="00176FE0">
              <w:rPr>
                <w:rFonts w:ascii="Verdana" w:eastAsia="Times New Roman" w:hAnsi="Verdana" w:cs="Calibri"/>
                <w:b/>
                <w:bCs/>
                <w:color w:val="EE0000"/>
                <w:sz w:val="16"/>
                <w:szCs w:val="16"/>
                <w:lang w:eastAsia="es-CO"/>
              </w:rPr>
              <w:t>Actualizar cuando aplique</w:t>
            </w:r>
            <w:r>
              <w:rPr>
                <w:rFonts w:ascii="Verdana" w:eastAsia="Times New Roman" w:hAnsi="Verdana" w:cs="Calibri"/>
                <w:b/>
                <w:bCs/>
                <w:color w:val="EE0000"/>
                <w:sz w:val="16"/>
                <w:szCs w:val="16"/>
                <w:lang w:eastAsia="es-CO"/>
              </w:rPr>
              <w:t>)</w:t>
            </w:r>
          </w:p>
        </w:tc>
        <w:tc>
          <w:tcPr>
            <w:tcW w:w="7241" w:type="dxa"/>
            <w:vAlign w:val="center"/>
            <w:hideMark/>
          </w:tcPr>
          <w:p w14:paraId="48A618E3" w14:textId="77777777" w:rsidR="00176FE0" w:rsidRDefault="00176FE0" w:rsidP="00176FE0">
            <w:pPr>
              <w:spacing w:after="0" w:line="240" w:lineRule="auto"/>
              <w:jc w:val="both"/>
              <w:rPr>
                <w:rFonts w:ascii="Verdana" w:eastAsia="Times New Roman" w:hAnsi="Verdana" w:cs="Calibri"/>
                <w:b/>
                <w:bCs/>
                <w:color w:val="000000" w:themeColor="text1"/>
                <w:sz w:val="16"/>
                <w:szCs w:val="16"/>
                <w:lang w:eastAsia="es-CO"/>
              </w:rPr>
            </w:pPr>
            <w:r w:rsidRPr="00176FE0">
              <w:rPr>
                <w:rFonts w:ascii="Verdana" w:eastAsia="Times New Roman" w:hAnsi="Verdana" w:cs="Calibri"/>
                <w:b/>
                <w:bCs/>
                <w:color w:val="000000" w:themeColor="text1"/>
                <w:sz w:val="16"/>
                <w:szCs w:val="16"/>
                <w:lang w:eastAsia="es-CO"/>
              </w:rPr>
              <w:t>ESTUDIO DE LA OFERTA</w:t>
            </w:r>
          </w:p>
          <w:p w14:paraId="0F0A3B9C" w14:textId="77777777" w:rsidR="00176FE0" w:rsidRPr="00176FE0" w:rsidRDefault="00176FE0" w:rsidP="00DE6ABC">
            <w:pPr>
              <w:spacing w:after="0" w:line="240" w:lineRule="auto"/>
              <w:jc w:val="both"/>
              <w:rPr>
                <w:rFonts w:ascii="Verdana" w:eastAsia="Times New Roman" w:hAnsi="Verdana" w:cs="Calibri"/>
                <w:b/>
                <w:bCs/>
                <w:color w:val="000000" w:themeColor="text1"/>
                <w:sz w:val="16"/>
                <w:szCs w:val="16"/>
                <w:lang w:eastAsia="es-CO"/>
              </w:rPr>
            </w:pPr>
          </w:p>
          <w:p w14:paraId="7F443ABC" w14:textId="30716662" w:rsidR="00176FE0" w:rsidRDefault="00176FE0" w:rsidP="00176FE0">
            <w:pPr>
              <w:spacing w:after="0" w:line="240" w:lineRule="auto"/>
              <w:jc w:val="both"/>
              <w:rPr>
                <w:rFonts w:ascii="Verdana" w:eastAsia="Times New Roman" w:hAnsi="Verdana" w:cs="Calibri"/>
                <w:color w:val="000000" w:themeColor="text1"/>
                <w:sz w:val="16"/>
                <w:szCs w:val="16"/>
                <w:lang w:eastAsia="es-CO"/>
              </w:rPr>
            </w:pPr>
            <w:r w:rsidRPr="00176FE0">
              <w:rPr>
                <w:rFonts w:ascii="Verdana" w:eastAsia="Times New Roman" w:hAnsi="Verdana" w:cs="Calibri"/>
                <w:color w:val="000000" w:themeColor="text1"/>
                <w:sz w:val="16"/>
                <w:szCs w:val="16"/>
                <w:lang w:eastAsia="es-CO"/>
              </w:rPr>
              <w:t>La prestación de servicios profesionales y de apoyo la gestión se celebra con personas naturales que se</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encuentran en capacidad de acreditar el cumplimiento de los requisitos de formación y experiencia definidos por</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las entidades contratantes a través de los Estudios Previos, con el objeto de satisfacer las necesidades</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previamente identificadas y contribuyendo así al cumplimiento de los fines propios de las organizaciones.</w:t>
            </w:r>
          </w:p>
          <w:p w14:paraId="45641292" w14:textId="77777777" w:rsidR="00176FE0" w:rsidRPr="00176FE0" w:rsidRDefault="00176FE0" w:rsidP="00DE6ABC">
            <w:pPr>
              <w:spacing w:after="0" w:line="240" w:lineRule="auto"/>
              <w:jc w:val="both"/>
              <w:rPr>
                <w:rFonts w:ascii="Verdana" w:eastAsia="Times New Roman" w:hAnsi="Verdana" w:cs="Calibri"/>
                <w:color w:val="000000" w:themeColor="text1"/>
                <w:sz w:val="16"/>
                <w:szCs w:val="16"/>
                <w:lang w:eastAsia="es-CO"/>
              </w:rPr>
            </w:pPr>
          </w:p>
          <w:p w14:paraId="0945BE24" w14:textId="020DB338" w:rsidR="00176FE0" w:rsidRPr="00176FE0" w:rsidRDefault="00176FE0" w:rsidP="00DE6ABC">
            <w:pPr>
              <w:spacing w:after="0" w:line="240" w:lineRule="auto"/>
              <w:jc w:val="both"/>
              <w:rPr>
                <w:rFonts w:ascii="Verdana" w:eastAsia="Times New Roman" w:hAnsi="Verdana" w:cs="Calibri"/>
                <w:color w:val="000000" w:themeColor="text1"/>
                <w:sz w:val="16"/>
                <w:szCs w:val="16"/>
                <w:lang w:eastAsia="es-CO"/>
              </w:rPr>
            </w:pPr>
            <w:r w:rsidRPr="00176FE0">
              <w:rPr>
                <w:rFonts w:ascii="Verdana" w:eastAsia="Times New Roman" w:hAnsi="Verdana" w:cs="Calibri"/>
                <w:color w:val="000000" w:themeColor="text1"/>
                <w:sz w:val="16"/>
                <w:szCs w:val="16"/>
                <w:lang w:eastAsia="es-CO"/>
              </w:rPr>
              <w:t>Igualmente, las personas naturales que prestan sus servicios profesionales o de apoyo a la gestión de manera</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independiente, se especializan en ramas determinadas, de acuerdo con las necesidades particulares que sean</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demandadas en relación con su profesión u oficio.</w:t>
            </w:r>
          </w:p>
          <w:p w14:paraId="7FA70A9C" w14:textId="77777777" w:rsidR="00176FE0" w:rsidRDefault="00176FE0" w:rsidP="00176FE0">
            <w:pPr>
              <w:spacing w:after="0" w:line="240" w:lineRule="auto"/>
              <w:jc w:val="both"/>
              <w:rPr>
                <w:rFonts w:ascii="Verdana" w:eastAsia="Times New Roman" w:hAnsi="Verdana" w:cs="Calibri"/>
                <w:color w:val="000000" w:themeColor="text1"/>
                <w:sz w:val="16"/>
                <w:szCs w:val="16"/>
                <w:lang w:eastAsia="es-CO"/>
              </w:rPr>
            </w:pPr>
          </w:p>
          <w:p w14:paraId="5649759E" w14:textId="77777777" w:rsidR="00176FE0" w:rsidRDefault="00176FE0" w:rsidP="00176FE0">
            <w:pPr>
              <w:spacing w:after="0" w:line="240" w:lineRule="auto"/>
              <w:jc w:val="both"/>
              <w:rPr>
                <w:rFonts w:ascii="Verdana" w:eastAsia="Times New Roman" w:hAnsi="Verdana" w:cs="Calibri"/>
                <w:color w:val="000000" w:themeColor="text1"/>
                <w:sz w:val="16"/>
                <w:szCs w:val="16"/>
                <w:lang w:eastAsia="es-CO"/>
              </w:rPr>
            </w:pPr>
            <w:r w:rsidRPr="00176FE0">
              <w:rPr>
                <w:rFonts w:ascii="Verdana" w:eastAsia="Times New Roman" w:hAnsi="Verdana" w:cs="Calibri"/>
                <w:color w:val="000000" w:themeColor="text1"/>
                <w:sz w:val="16"/>
                <w:szCs w:val="16"/>
                <w:lang w:eastAsia="es-CO"/>
              </w:rPr>
              <w:t>Es por eso, que el servicio profesional o de apoyo a la gestión que se preste en ejecución de los objetos</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contractuales definidos por las entidades, comprende conocimientos adquiridos a través de una formación</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académica específica y de la experiencia laboral, profesional o la relacionada directamente con las actividades a</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desarrollar. Esto implica que el contratista debe acreditar la idoneidad y experiencia mínima necesaria para</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garantizar que se satisfaga adecuadamente la necesidad identificada por la entidad.</w:t>
            </w:r>
          </w:p>
          <w:p w14:paraId="08476BE7" w14:textId="77777777" w:rsidR="00176FE0" w:rsidRDefault="00176FE0" w:rsidP="00176FE0">
            <w:pPr>
              <w:spacing w:after="0" w:line="240" w:lineRule="auto"/>
              <w:jc w:val="both"/>
              <w:rPr>
                <w:rFonts w:ascii="Verdana" w:eastAsia="Times New Roman" w:hAnsi="Verdana" w:cs="Calibri"/>
                <w:color w:val="000000" w:themeColor="text1"/>
                <w:sz w:val="16"/>
                <w:szCs w:val="16"/>
                <w:lang w:eastAsia="es-CO"/>
              </w:rPr>
            </w:pPr>
          </w:p>
          <w:p w14:paraId="19E096D9" w14:textId="66ED2070" w:rsidR="00176FE0" w:rsidRDefault="00176FE0" w:rsidP="00176FE0">
            <w:pPr>
              <w:spacing w:after="0" w:line="240" w:lineRule="auto"/>
              <w:jc w:val="both"/>
              <w:rPr>
                <w:rFonts w:ascii="Verdana" w:eastAsia="Times New Roman" w:hAnsi="Verdana" w:cs="Calibri"/>
                <w:color w:val="000000" w:themeColor="text1"/>
                <w:sz w:val="16"/>
                <w:szCs w:val="16"/>
                <w:lang w:eastAsia="es-CO"/>
              </w:rPr>
            </w:pPr>
            <w:r w:rsidRPr="00176FE0">
              <w:rPr>
                <w:rFonts w:ascii="Verdana" w:eastAsia="Times New Roman" w:hAnsi="Verdana" w:cs="Calibri"/>
                <w:color w:val="000000" w:themeColor="text1"/>
                <w:sz w:val="16"/>
                <w:szCs w:val="16"/>
                <w:lang w:eastAsia="es-CO"/>
              </w:rPr>
              <w:t>Ahora bien, según lo observado en el sector, y dado que los contratos que demandan las entidades suelen</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ejecutarse mayormente por personas naturales capaces de desarrollar las actividades contratadas, se establece</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que según lo dispuesto en el literal h) numeral 4 del artículo 2 de la Ley 1150 de 2007 y lo establecido en el</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artículo 2.2.1.2.1.4.9. del Decreto 1082 de 2015, este tipo de contrataciones son celebradas por los contratistas</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de forma directa, sin que para el efecto sea necesario la presentación de varias ofertas, lo que implica que las</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personas naturales interesadas en celebrar contratos de prestación de servicios con entidades públicas podrán</w:t>
            </w:r>
            <w:r>
              <w:rPr>
                <w:rFonts w:ascii="Verdana" w:eastAsia="Times New Roman" w:hAnsi="Verdana" w:cs="Calibri"/>
                <w:color w:val="000000" w:themeColor="text1"/>
                <w:sz w:val="16"/>
                <w:szCs w:val="16"/>
                <w:lang w:eastAsia="es-CO"/>
              </w:rPr>
              <w:t xml:space="preserve"> </w:t>
            </w:r>
            <w:r w:rsidRPr="00176FE0">
              <w:rPr>
                <w:rFonts w:ascii="Verdana" w:eastAsia="Times New Roman" w:hAnsi="Verdana" w:cs="Calibri"/>
                <w:color w:val="000000" w:themeColor="text1"/>
                <w:sz w:val="16"/>
                <w:szCs w:val="16"/>
                <w:lang w:eastAsia="es-CO"/>
              </w:rPr>
              <w:t>hacerlo sin que sea necesario surtir un proceso competitivo previo.</w:t>
            </w:r>
          </w:p>
          <w:p w14:paraId="2896714D" w14:textId="6E88B099" w:rsidR="00176FE0" w:rsidRPr="00463436" w:rsidRDefault="00176FE0" w:rsidP="00DE6ABC">
            <w:pPr>
              <w:spacing w:after="0" w:line="240" w:lineRule="auto"/>
              <w:jc w:val="both"/>
              <w:rPr>
                <w:rFonts w:ascii="Verdana" w:eastAsia="Times New Roman" w:hAnsi="Verdana" w:cs="Calibri"/>
                <w:color w:val="000000" w:themeColor="text1"/>
                <w:sz w:val="16"/>
                <w:szCs w:val="16"/>
                <w:lang w:eastAsia="es-CO"/>
              </w:rPr>
            </w:pPr>
          </w:p>
        </w:tc>
      </w:tr>
    </w:tbl>
    <w:p w14:paraId="43B977E7" w14:textId="2D2B87F3" w:rsidR="00640721" w:rsidRPr="00463436" w:rsidRDefault="00F15CB2" w:rsidP="00C768DC">
      <w:pPr>
        <w:spacing w:after="0" w:line="240" w:lineRule="auto"/>
        <w:rPr>
          <w:rFonts w:ascii="Verdana" w:hAnsi="Verdana"/>
          <w:color w:val="000000" w:themeColor="text1"/>
          <w:sz w:val="16"/>
          <w:szCs w:val="16"/>
        </w:rPr>
      </w:pPr>
      <w:r w:rsidRPr="00463436">
        <w:rPr>
          <w:rFonts w:ascii="Verdana" w:hAnsi="Verdana"/>
          <w:color w:val="000000" w:themeColor="text1"/>
          <w:sz w:val="16"/>
          <w:szCs w:val="16"/>
        </w:rPr>
        <w:t>.</w:t>
      </w:r>
    </w:p>
    <w:p w14:paraId="3D39BC33" w14:textId="77777777" w:rsidR="008F77EA" w:rsidRPr="00463436" w:rsidRDefault="00137126" w:rsidP="00C768DC">
      <w:pPr>
        <w:pStyle w:val="ListParagraph"/>
        <w:keepNext/>
        <w:numPr>
          <w:ilvl w:val="0"/>
          <w:numId w:val="2"/>
        </w:numPr>
        <w:spacing w:after="0" w:line="240" w:lineRule="auto"/>
        <w:jc w:val="both"/>
        <w:rPr>
          <w:rFonts w:ascii="Verdana" w:hAnsi="Verdana" w:cs="Arial"/>
          <w:color w:val="000000" w:themeColor="text1"/>
          <w:sz w:val="16"/>
          <w:szCs w:val="16"/>
        </w:rPr>
      </w:pPr>
      <w:r w:rsidRPr="00463436">
        <w:rPr>
          <w:rFonts w:ascii="Verdana" w:hAnsi="Verdana" w:cs="Arial"/>
          <w:color w:val="000000" w:themeColor="text1"/>
          <w:sz w:val="16"/>
          <w:szCs w:val="16"/>
        </w:rPr>
        <w:lastRenderedPageBreak/>
        <w:t xml:space="preserve">Las anotaciones que se encuentran </w:t>
      </w:r>
      <w:r w:rsidR="002B6E46" w:rsidRPr="00463436">
        <w:rPr>
          <w:rFonts w:ascii="Verdana" w:hAnsi="Verdana" w:cs="Arial"/>
          <w:color w:val="000000" w:themeColor="text1"/>
          <w:sz w:val="16"/>
          <w:szCs w:val="16"/>
        </w:rPr>
        <w:t xml:space="preserve">en rojo deben ser eliminadas, una vez sea diligenciado el presente formato. </w:t>
      </w:r>
    </w:p>
    <w:p w14:paraId="296AC304" w14:textId="77777777" w:rsidR="008F77EA" w:rsidRPr="00463436" w:rsidRDefault="008F77EA" w:rsidP="00C768DC">
      <w:pPr>
        <w:keepNext/>
        <w:spacing w:after="0" w:line="240" w:lineRule="auto"/>
        <w:jc w:val="both"/>
        <w:rPr>
          <w:rFonts w:ascii="Verdana" w:hAnsi="Verdana"/>
          <w:color w:val="000000" w:themeColor="text1"/>
          <w:sz w:val="16"/>
          <w:szCs w:val="16"/>
        </w:rPr>
      </w:pPr>
    </w:p>
    <w:p w14:paraId="7FC82D84" w14:textId="2521E1A3" w:rsidR="008F77EA" w:rsidRPr="00463436" w:rsidRDefault="008F77EA" w:rsidP="00C768DC">
      <w:pPr>
        <w:keepNext/>
        <w:spacing w:after="0" w:line="240" w:lineRule="auto"/>
        <w:jc w:val="both"/>
        <w:rPr>
          <w:rFonts w:ascii="Verdana" w:hAnsi="Verdana" w:cs="Arial"/>
          <w:color w:val="000000" w:themeColor="text1"/>
          <w:sz w:val="16"/>
          <w:szCs w:val="16"/>
          <w:u w:val="single"/>
        </w:rPr>
      </w:pPr>
    </w:p>
    <w:p w14:paraId="3D872294" w14:textId="77777777" w:rsidR="008F77EA" w:rsidRPr="00463436" w:rsidRDefault="008F77EA" w:rsidP="00C768DC">
      <w:pPr>
        <w:keepNext/>
        <w:spacing w:after="0" w:line="240" w:lineRule="auto"/>
        <w:jc w:val="both"/>
        <w:rPr>
          <w:rFonts w:ascii="Verdana" w:hAnsi="Verdana" w:cs="Arial"/>
          <w:color w:val="000000" w:themeColor="text1"/>
          <w:sz w:val="16"/>
          <w:szCs w:val="16"/>
          <w:u w:val="single"/>
        </w:rPr>
      </w:pPr>
    </w:p>
    <w:p w14:paraId="04466AE6" w14:textId="0091A83C" w:rsidR="008F77EA" w:rsidRPr="00463436" w:rsidRDefault="008F77EA" w:rsidP="00C768DC">
      <w:pPr>
        <w:keepNext/>
        <w:spacing w:after="0" w:line="240" w:lineRule="auto"/>
        <w:rPr>
          <w:rFonts w:ascii="Verdana" w:hAnsi="Verdana" w:cs="Tahoma"/>
          <w:b/>
          <w:bCs/>
          <w:color w:val="000000" w:themeColor="text1"/>
          <w:spacing w:val="-3"/>
          <w:sz w:val="16"/>
          <w:szCs w:val="16"/>
        </w:rPr>
      </w:pPr>
      <w:r w:rsidRPr="00463436">
        <w:rPr>
          <w:rFonts w:ascii="Verdana" w:hAnsi="Verdana" w:cs="Tahoma"/>
          <w:b/>
          <w:bCs/>
          <w:color w:val="000000" w:themeColor="text1"/>
          <w:spacing w:val="-3"/>
          <w:sz w:val="16"/>
          <w:szCs w:val="16"/>
        </w:rPr>
        <w:t>NOMBRE:</w:t>
      </w:r>
      <w:r w:rsidR="00F73B84">
        <w:rPr>
          <w:rFonts w:ascii="Verdana" w:hAnsi="Verdana" w:cs="Tahoma"/>
          <w:b/>
          <w:bCs/>
          <w:color w:val="000000" w:themeColor="text1"/>
          <w:spacing w:val="-3"/>
          <w:sz w:val="16"/>
          <w:szCs w:val="16"/>
        </w:rPr>
        <w:t xml:space="preserve"> </w:t>
      </w:r>
      <w:r w:rsidR="00F73B84">
        <w:rPr>
          <w:rFonts w:ascii="Verdana" w:hAnsi="Verdana" w:cs="Tahoma"/>
          <w:b/>
          <w:bCs/>
          <w:color w:val="000000" w:themeColor="text1"/>
          <w:spacing w:val="-3"/>
          <w:sz w:val="16"/>
          <w:szCs w:val="16"/>
          <w:u w:val="single"/>
        </w:rPr>
        <w:t>******************************</w:t>
      </w:r>
      <w:r w:rsidR="00CE1C08">
        <w:rPr>
          <w:rFonts w:ascii="Verdana" w:hAnsi="Verdana" w:cs="Tahoma"/>
          <w:b/>
          <w:bCs/>
          <w:color w:val="000000" w:themeColor="text1"/>
          <w:spacing w:val="-3"/>
          <w:sz w:val="16"/>
          <w:szCs w:val="16"/>
          <w:u w:val="single"/>
        </w:rPr>
        <w:t xml:space="preserve"> </w:t>
      </w:r>
      <w:r w:rsidR="00CE1C08">
        <w:rPr>
          <w:rFonts w:ascii="Verdana" w:hAnsi="Verdana" w:cs="Tahoma"/>
          <w:b/>
          <w:bCs/>
          <w:color w:val="EE0000"/>
          <w:spacing w:val="-3"/>
          <w:sz w:val="16"/>
          <w:szCs w:val="16"/>
          <w:u w:val="single"/>
        </w:rPr>
        <w:t>(</w:t>
      </w:r>
    </w:p>
    <w:p w14:paraId="1C7FB8F2" w14:textId="6EEFB347" w:rsidR="00D872A0" w:rsidRPr="00463436" w:rsidRDefault="009F6A1D" w:rsidP="00C768DC">
      <w:pPr>
        <w:keepNext/>
        <w:spacing w:after="0" w:line="240" w:lineRule="auto"/>
        <w:jc w:val="both"/>
        <w:rPr>
          <w:rFonts w:ascii="Verdana" w:hAnsi="Verdana" w:cs="Tahoma"/>
          <w:bCs/>
          <w:color w:val="000000" w:themeColor="text1"/>
          <w:spacing w:val="-3"/>
          <w:sz w:val="16"/>
          <w:szCs w:val="16"/>
        </w:rPr>
      </w:pPr>
      <w:r>
        <w:rPr>
          <w:rFonts w:ascii="Verdana" w:hAnsi="Verdana" w:cs="Tahoma"/>
          <w:bCs/>
          <w:color w:val="000000" w:themeColor="text1"/>
          <w:spacing w:val="-3"/>
          <w:sz w:val="16"/>
          <w:szCs w:val="16"/>
        </w:rPr>
        <w:t>Director (a)/</w:t>
      </w:r>
      <w:proofErr w:type="gramStart"/>
      <w:r>
        <w:rPr>
          <w:rFonts w:ascii="Verdana" w:hAnsi="Verdana" w:cs="Tahoma"/>
          <w:bCs/>
          <w:color w:val="000000" w:themeColor="text1"/>
          <w:spacing w:val="-3"/>
          <w:sz w:val="16"/>
          <w:szCs w:val="16"/>
        </w:rPr>
        <w:t>Jefe</w:t>
      </w:r>
      <w:proofErr w:type="gramEnd"/>
      <w:r>
        <w:rPr>
          <w:rFonts w:ascii="Verdana" w:hAnsi="Verdana" w:cs="Tahoma"/>
          <w:bCs/>
          <w:color w:val="000000" w:themeColor="text1"/>
          <w:spacing w:val="-3"/>
          <w:sz w:val="16"/>
          <w:szCs w:val="16"/>
        </w:rPr>
        <w:t xml:space="preserve"> de Área/</w:t>
      </w:r>
      <w:r w:rsidR="008F77EA" w:rsidRPr="00463436">
        <w:rPr>
          <w:rFonts w:ascii="Verdana" w:hAnsi="Verdana" w:cs="Tahoma"/>
          <w:bCs/>
          <w:color w:val="000000" w:themeColor="text1"/>
          <w:spacing w:val="-3"/>
          <w:sz w:val="16"/>
          <w:szCs w:val="16"/>
        </w:rPr>
        <w:t>Coordinador (a) Grupo</w:t>
      </w:r>
      <w:r>
        <w:rPr>
          <w:rFonts w:ascii="Verdana" w:hAnsi="Verdana" w:cs="Tahoma"/>
          <w:bCs/>
          <w:color w:val="000000" w:themeColor="text1"/>
          <w:spacing w:val="-3"/>
          <w:sz w:val="16"/>
          <w:szCs w:val="16"/>
        </w:rPr>
        <w:t>:</w:t>
      </w:r>
      <w:r w:rsidR="008F77EA" w:rsidRPr="00463436">
        <w:rPr>
          <w:rFonts w:ascii="Verdana" w:hAnsi="Verdana" w:cs="Tahoma"/>
          <w:bCs/>
          <w:color w:val="000000" w:themeColor="text1"/>
          <w:spacing w:val="-3"/>
          <w:sz w:val="16"/>
          <w:szCs w:val="16"/>
        </w:rPr>
        <w:t xml:space="preserve"> </w:t>
      </w:r>
      <w:proofErr w:type="spellStart"/>
      <w:r w:rsidR="008F77EA" w:rsidRPr="00463436">
        <w:rPr>
          <w:rFonts w:ascii="Verdana" w:hAnsi="Verdana" w:cs="Tahoma"/>
          <w:bCs/>
          <w:color w:val="000000" w:themeColor="text1"/>
          <w:spacing w:val="-3"/>
          <w:sz w:val="16"/>
          <w:szCs w:val="16"/>
        </w:rPr>
        <w:t>xxxxxxxxxxxxxxxxxxx</w:t>
      </w:r>
      <w:proofErr w:type="spellEnd"/>
    </w:p>
    <w:p w14:paraId="3D1F96D3" w14:textId="3AF828B5" w:rsidR="008F77EA" w:rsidRPr="00463436" w:rsidRDefault="00D872A0" w:rsidP="00463436">
      <w:pPr>
        <w:tabs>
          <w:tab w:val="left" w:pos="5841"/>
        </w:tabs>
        <w:rPr>
          <w:rFonts w:ascii="Verdana" w:hAnsi="Verdana" w:cs="Tahoma"/>
          <w:sz w:val="16"/>
          <w:szCs w:val="16"/>
        </w:rPr>
      </w:pPr>
      <w:r w:rsidRPr="00463436">
        <w:rPr>
          <w:rFonts w:ascii="Verdana" w:hAnsi="Verdana" w:cs="Tahoma"/>
          <w:sz w:val="16"/>
          <w:szCs w:val="16"/>
        </w:rPr>
        <w:tab/>
      </w:r>
    </w:p>
    <w:sectPr w:rsidR="008F77EA" w:rsidRPr="00463436" w:rsidSect="009B1A03">
      <w:headerReference w:type="even" r:id="rId25"/>
      <w:headerReference w:type="default" r:id="rId26"/>
      <w:footerReference w:type="default" r:id="rId27"/>
      <w:headerReference w:type="first" r:id="rId28"/>
      <w:pgSz w:w="12240" w:h="15840" w:code="1"/>
      <w:pgMar w:top="720" w:right="720" w:bottom="720" w:left="72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AD6D" w14:textId="77777777" w:rsidR="00735541" w:rsidRDefault="00735541" w:rsidP="00C03B44">
      <w:pPr>
        <w:spacing w:after="0" w:line="240" w:lineRule="auto"/>
      </w:pPr>
      <w:r>
        <w:separator/>
      </w:r>
    </w:p>
  </w:endnote>
  <w:endnote w:type="continuationSeparator" w:id="0">
    <w:p w14:paraId="74604B69" w14:textId="77777777" w:rsidR="00735541" w:rsidRDefault="00735541" w:rsidP="00C0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E5CB" w14:textId="77777777" w:rsidR="009B1A03" w:rsidRPr="00666AB9" w:rsidRDefault="009B1A03" w:rsidP="009B1A03">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3AE24CDA" w14:textId="77777777" w:rsidR="009B1A03" w:rsidRPr="00666AB9" w:rsidRDefault="009B1A03" w:rsidP="009B1A03">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2D6CDE1" w14:textId="7C5C1F11" w:rsidR="006A4250" w:rsidRPr="00D872A0" w:rsidRDefault="006A4250" w:rsidP="00C03B44">
    <w:pPr>
      <w:pStyle w:val="Footer"/>
      <w:jc w:val="both"/>
      <w:rPr>
        <w:rFonts w:ascii="Verdana" w:hAnsi="Verdana"/>
        <w:sz w:val="16"/>
        <w:szCs w:val="16"/>
      </w:rPr>
    </w:pPr>
    <w:r w:rsidRPr="00D872A0">
      <w:rPr>
        <w:rFonts w:ascii="Verdana" w:hAnsi="Verdana"/>
        <w:noProof/>
        <w:sz w:val="16"/>
        <w:szCs w:val="16"/>
        <w:lang w:eastAsia="es-CO"/>
      </w:rPr>
      <w:t xml:space="preserve">                                                                                              </w:t>
    </w:r>
  </w:p>
  <w:p w14:paraId="0D02E2D9" w14:textId="77777777" w:rsidR="006A4250" w:rsidRPr="00D872A0" w:rsidRDefault="006A4250" w:rsidP="00C03B44">
    <w:pPr>
      <w:pStyle w:val="Footer"/>
      <w:jc w:val="both"/>
      <w:rPr>
        <w:rFonts w:ascii="Verdana" w:hAnsi="Verdana"/>
        <w:sz w:val="16"/>
        <w:szCs w:val="16"/>
      </w:rPr>
    </w:pPr>
  </w:p>
  <w:p w14:paraId="456D658A" w14:textId="09992292" w:rsidR="005849C0" w:rsidRPr="00D872A0" w:rsidRDefault="005849C0" w:rsidP="00C03B44">
    <w:pPr>
      <w:pStyle w:val="Footer"/>
      <w:jc w:val="both"/>
      <w:rPr>
        <w:rFonts w:ascii="Verdana" w:hAnsi="Verdana"/>
        <w:sz w:val="16"/>
        <w:szCs w:val="16"/>
      </w:rPr>
    </w:pPr>
    <w:r w:rsidRPr="00D872A0">
      <w:rPr>
        <w:rFonts w:ascii="Verdana" w:hAnsi="Verdana"/>
        <w:sz w:val="16"/>
        <w:szCs w:val="16"/>
      </w:rPr>
      <w:t xml:space="preserve">        </w:t>
    </w:r>
    <w:r w:rsidR="00D872A0" w:rsidRPr="00D872A0">
      <w:rPr>
        <w:rFonts w:ascii="Verdana" w:hAnsi="Verdana"/>
        <w:sz w:val="16"/>
        <w:szCs w:val="16"/>
      </w:rPr>
      <w:tab/>
    </w:r>
    <w:r w:rsidR="00D872A0" w:rsidRPr="00D872A0">
      <w:rPr>
        <w:rFonts w:ascii="Verdana" w:hAnsi="Verdana"/>
        <w:sz w:val="16"/>
        <w:szCs w:val="16"/>
      </w:rPr>
      <w:tab/>
    </w:r>
    <w:r w:rsidR="00D872A0" w:rsidRPr="00D872A0">
      <w:rPr>
        <w:rFonts w:ascii="Verdana" w:hAnsi="Verdana"/>
        <w:sz w:val="16"/>
        <w:szCs w:val="16"/>
        <w:lang w:val="es-ES"/>
      </w:rPr>
      <w:t xml:space="preserve">Página </w:t>
    </w:r>
    <w:r w:rsidR="00D872A0" w:rsidRPr="00D872A0">
      <w:rPr>
        <w:rFonts w:ascii="Verdana" w:hAnsi="Verdana"/>
        <w:bCs/>
        <w:sz w:val="16"/>
        <w:szCs w:val="16"/>
      </w:rPr>
      <w:fldChar w:fldCharType="begin"/>
    </w:r>
    <w:r w:rsidR="00D872A0" w:rsidRPr="00D872A0">
      <w:rPr>
        <w:rFonts w:ascii="Verdana" w:hAnsi="Verdana"/>
        <w:bCs/>
        <w:sz w:val="16"/>
        <w:szCs w:val="16"/>
      </w:rPr>
      <w:instrText>PAGE  \* Arabic  \* MERGEFORMAT</w:instrText>
    </w:r>
    <w:r w:rsidR="00D872A0" w:rsidRPr="00D872A0">
      <w:rPr>
        <w:rFonts w:ascii="Verdana" w:hAnsi="Verdana"/>
        <w:bCs/>
        <w:sz w:val="16"/>
        <w:szCs w:val="16"/>
      </w:rPr>
      <w:fldChar w:fldCharType="separate"/>
    </w:r>
    <w:r w:rsidR="00D872A0" w:rsidRPr="00D872A0">
      <w:rPr>
        <w:rFonts w:ascii="Verdana" w:hAnsi="Verdana"/>
        <w:bCs/>
        <w:noProof/>
        <w:sz w:val="16"/>
        <w:szCs w:val="16"/>
        <w:lang w:val="es-ES"/>
      </w:rPr>
      <w:t>1</w:t>
    </w:r>
    <w:r w:rsidR="00D872A0" w:rsidRPr="00D872A0">
      <w:rPr>
        <w:rFonts w:ascii="Verdana" w:hAnsi="Verdana"/>
        <w:bCs/>
        <w:sz w:val="16"/>
        <w:szCs w:val="16"/>
      </w:rPr>
      <w:fldChar w:fldCharType="end"/>
    </w:r>
    <w:r w:rsidR="00D872A0" w:rsidRPr="00D872A0">
      <w:rPr>
        <w:rFonts w:ascii="Verdana" w:hAnsi="Verdana"/>
        <w:sz w:val="16"/>
        <w:szCs w:val="16"/>
        <w:lang w:val="es-ES"/>
      </w:rPr>
      <w:t xml:space="preserve"> de </w:t>
    </w:r>
    <w:r w:rsidR="00D872A0" w:rsidRPr="00D872A0">
      <w:rPr>
        <w:rFonts w:ascii="Verdana" w:hAnsi="Verdana"/>
        <w:bCs/>
        <w:sz w:val="16"/>
        <w:szCs w:val="16"/>
      </w:rPr>
      <w:fldChar w:fldCharType="begin"/>
    </w:r>
    <w:r w:rsidR="00D872A0" w:rsidRPr="00D872A0">
      <w:rPr>
        <w:rFonts w:ascii="Verdana" w:hAnsi="Verdana"/>
        <w:bCs/>
        <w:sz w:val="16"/>
        <w:szCs w:val="16"/>
      </w:rPr>
      <w:instrText>NUMPAGES  \* Arabic  \* MERGEFORMAT</w:instrText>
    </w:r>
    <w:r w:rsidR="00D872A0" w:rsidRPr="00D872A0">
      <w:rPr>
        <w:rFonts w:ascii="Verdana" w:hAnsi="Verdana"/>
        <w:bCs/>
        <w:sz w:val="16"/>
        <w:szCs w:val="16"/>
      </w:rPr>
      <w:fldChar w:fldCharType="separate"/>
    </w:r>
    <w:r w:rsidR="00D872A0" w:rsidRPr="00D872A0">
      <w:rPr>
        <w:rFonts w:ascii="Verdana" w:hAnsi="Verdana"/>
        <w:bCs/>
        <w:noProof/>
        <w:sz w:val="16"/>
        <w:szCs w:val="16"/>
        <w:lang w:val="es-ES"/>
      </w:rPr>
      <w:t>4</w:t>
    </w:r>
    <w:r w:rsidR="00D872A0" w:rsidRPr="00D872A0">
      <w:rPr>
        <w:rFonts w:ascii="Verdana" w:hAnsi="Verdana"/>
        <w:bCs/>
        <w:sz w:val="16"/>
        <w:szCs w:val="16"/>
      </w:rPr>
      <w:fldChar w:fldCharType="end"/>
    </w:r>
    <w:r w:rsidRPr="00D872A0">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B8AD" w14:textId="77777777" w:rsidR="00735541" w:rsidRDefault="00735541" w:rsidP="00C03B44">
      <w:pPr>
        <w:spacing w:after="0" w:line="240" w:lineRule="auto"/>
      </w:pPr>
      <w:r>
        <w:separator/>
      </w:r>
    </w:p>
  </w:footnote>
  <w:footnote w:type="continuationSeparator" w:id="0">
    <w:p w14:paraId="1060C971" w14:textId="77777777" w:rsidR="00735541" w:rsidRDefault="00735541" w:rsidP="00C03B44">
      <w:pPr>
        <w:spacing w:after="0" w:line="240" w:lineRule="auto"/>
      </w:pPr>
      <w:r>
        <w:continuationSeparator/>
      </w:r>
    </w:p>
  </w:footnote>
  <w:footnote w:id="1">
    <w:p w14:paraId="62FCBD96" w14:textId="77777777" w:rsidR="008534E1" w:rsidRDefault="008534E1" w:rsidP="008534E1">
      <w:pPr>
        <w:pStyle w:val="FootnoteText"/>
        <w:jc w:val="both"/>
        <w:rPr>
          <w:sz w:val="18"/>
          <w:szCs w:val="18"/>
          <w:lang w:val="es-ES"/>
        </w:rPr>
      </w:pPr>
      <w:r>
        <w:rPr>
          <w:rStyle w:val="FootnoteReference"/>
          <w:rFonts w:eastAsiaTheme="majorEastAsia"/>
          <w:sz w:val="18"/>
          <w:szCs w:val="18"/>
        </w:rPr>
        <w:footnoteRef/>
      </w:r>
      <w:r>
        <w:rPr>
          <w:sz w:val="18"/>
          <w:szCs w:val="18"/>
        </w:rPr>
        <w:t xml:space="preserve"> </w:t>
      </w:r>
      <w:r>
        <w:rPr>
          <w:rFonts w:ascii="Arial Narrow" w:hAnsi="Arial Narrow"/>
          <w:sz w:val="18"/>
          <w:szCs w:val="18"/>
        </w:rPr>
        <w:t>Consejo de Estado, Sala de lo Contencioso Administrativo, Sección Tercera, (2 de diciembre de 2013) Expediente 41719 [CP Jaime Orlando Santofimio).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54B2" w14:textId="77777777" w:rsidR="005849C0" w:rsidRDefault="00000000">
    <w:pPr>
      <w:pStyle w:val="Header"/>
    </w:pPr>
    <w:r>
      <w:rPr>
        <w:noProof/>
      </w:rPr>
      <w:pict w14:anchorId="04319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532" o:spid="_x0000_s1027" type="#_x0000_t136" alt="" style="position:absolute;margin-left:0;margin-top:0;width:549.65pt;height:73.25pt;rotation:315;z-index:-251655168;mso-wrap-edited:f;mso-width-percent:0;mso-height-percent:0;mso-position-horizontal:center;mso-position-horizontal-relative:margin;mso-position-vertical:center;mso-position-vertical-relative:margin;mso-width-percent:0;mso-height-percent:0" o:allowincell="f" fillcolor="#f2f2f2 [3052]" stroked="f">
          <v:fill opacity=".5"/>
          <v:textpath style="font-family:&quot;Arial Narrow&quot;;font-size:1pt" string="ESTUDIO DEL SECT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1276"/>
      <w:gridCol w:w="1182"/>
      <w:gridCol w:w="1185"/>
      <w:gridCol w:w="1305"/>
      <w:gridCol w:w="2989"/>
    </w:tblGrid>
    <w:tr w:rsidR="009B1A03" w:rsidRPr="00666AB9" w14:paraId="3FDB952D" w14:textId="77777777" w:rsidTr="009B1A03">
      <w:trPr>
        <w:trHeight w:val="300"/>
      </w:trPr>
      <w:tc>
        <w:tcPr>
          <w:tcW w:w="1702" w:type="dxa"/>
          <w:vMerge w:val="restart"/>
          <w:vAlign w:val="center"/>
        </w:tcPr>
        <w:p w14:paraId="4CCB8896" w14:textId="3033409D" w:rsidR="009B1A03" w:rsidRPr="00666AB9" w:rsidRDefault="009B1A03" w:rsidP="009B1A03">
          <w:pPr>
            <w:ind w:right="-558"/>
            <w:rPr>
              <w:rFonts w:ascii="Verdana" w:hAnsi="Verdana"/>
            </w:rPr>
          </w:pPr>
          <w:r>
            <w:rPr>
              <w:noProof/>
            </w:rPr>
            <w:drawing>
              <wp:anchor distT="0" distB="0" distL="114300" distR="114300" simplePos="0" relativeHeight="251663360" behindDoc="0" locked="0" layoutInCell="1" allowOverlap="1" wp14:anchorId="3B1FC4BE" wp14:editId="77D78E80">
                <wp:simplePos x="0" y="0"/>
                <wp:positionH relativeFrom="column">
                  <wp:posOffset>-9525</wp:posOffset>
                </wp:positionH>
                <wp:positionV relativeFrom="paragraph">
                  <wp:posOffset>-65405</wp:posOffset>
                </wp:positionV>
                <wp:extent cx="955675" cy="584200"/>
                <wp:effectExtent l="0" t="0" r="0" b="6350"/>
                <wp:wrapNone/>
                <wp:docPr id="147898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755823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584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1" w:type="dxa"/>
          <w:gridSpan w:val="6"/>
          <w:shd w:val="clear" w:color="auto" w:fill="BFBFBF"/>
          <w:vAlign w:val="center"/>
        </w:tcPr>
        <w:p w14:paraId="3743D1FD" w14:textId="77777777" w:rsidR="009B1A03" w:rsidRPr="00666AB9" w:rsidRDefault="009B1A03" w:rsidP="009B1A03">
          <w:pPr>
            <w:spacing w:after="0"/>
            <w:jc w:val="center"/>
            <w:rPr>
              <w:rFonts w:ascii="Verdana" w:hAnsi="Verdana"/>
            </w:rPr>
          </w:pPr>
          <w:r w:rsidRPr="00851B23">
            <w:rPr>
              <w:rFonts w:ascii="Verdana" w:eastAsia="Arial" w:hAnsi="Verdana" w:cs="Arial"/>
              <w:b/>
              <w:bCs/>
              <w:color w:val="000000"/>
              <w:sz w:val="18"/>
              <w:szCs w:val="18"/>
            </w:rPr>
            <w:t>Proceso</w:t>
          </w:r>
          <w:r>
            <w:rPr>
              <w:rFonts w:ascii="Verdana" w:eastAsia="Arial" w:hAnsi="Verdana" w:cs="Arial"/>
              <w:b/>
              <w:bCs/>
              <w:color w:val="000000"/>
              <w:sz w:val="18"/>
              <w:szCs w:val="18"/>
            </w:rPr>
            <w:t>:</w:t>
          </w:r>
          <w:r w:rsidRPr="00851B23">
            <w:rPr>
              <w:rFonts w:ascii="Verdana" w:eastAsia="Arial" w:hAnsi="Verdana" w:cs="Arial"/>
              <w:color w:val="000000"/>
              <w:sz w:val="18"/>
              <w:szCs w:val="18"/>
            </w:rPr>
            <w:t xml:space="preserve"> </w:t>
          </w:r>
          <w:r>
            <w:rPr>
              <w:rFonts w:ascii="Verdana" w:eastAsia="Arial" w:hAnsi="Verdana" w:cs="Arial"/>
              <w:b/>
              <w:color w:val="000000"/>
              <w:sz w:val="18"/>
              <w:szCs w:val="18"/>
            </w:rPr>
            <w:t>Gestión de Recursos</w:t>
          </w:r>
        </w:p>
      </w:tc>
    </w:tr>
    <w:tr w:rsidR="009B1A03" w:rsidRPr="00666AB9" w14:paraId="281A64BC" w14:textId="77777777" w:rsidTr="009B1A03">
      <w:trPr>
        <w:trHeight w:val="389"/>
      </w:trPr>
      <w:tc>
        <w:tcPr>
          <w:tcW w:w="1702" w:type="dxa"/>
          <w:vMerge/>
        </w:tcPr>
        <w:p w14:paraId="65F6B703" w14:textId="77777777" w:rsidR="009B1A03" w:rsidRPr="00666AB9" w:rsidRDefault="009B1A03" w:rsidP="009B1A03">
          <w:pPr>
            <w:rPr>
              <w:rFonts w:ascii="Verdana" w:hAnsi="Verdana"/>
            </w:rPr>
          </w:pPr>
        </w:p>
      </w:tc>
      <w:tc>
        <w:tcPr>
          <w:tcW w:w="9071" w:type="dxa"/>
          <w:gridSpan w:val="6"/>
          <w:shd w:val="clear" w:color="auto" w:fill="FFFFFF"/>
          <w:vAlign w:val="center"/>
        </w:tcPr>
        <w:p w14:paraId="44D7DBDC" w14:textId="670AFB7C" w:rsidR="009B1A03" w:rsidRPr="00851B23" w:rsidRDefault="009B1A03" w:rsidP="009B1A03">
          <w:pPr>
            <w:spacing w:after="0"/>
            <w:jc w:val="center"/>
            <w:rPr>
              <w:rFonts w:ascii="Verdana" w:eastAsia="Arial" w:hAnsi="Verdana" w:cs="Arial"/>
              <w:b/>
              <w:bCs/>
              <w:color w:val="000000"/>
              <w:sz w:val="24"/>
              <w:szCs w:val="24"/>
            </w:rPr>
          </w:pPr>
          <w:r w:rsidRPr="009B1A03">
            <w:rPr>
              <w:rFonts w:ascii="Verdana" w:eastAsia="Arial" w:hAnsi="Verdana" w:cs="Arial"/>
              <w:b/>
              <w:bCs/>
              <w:color w:val="000000"/>
              <w:sz w:val="24"/>
              <w:szCs w:val="24"/>
            </w:rPr>
            <w:t>ESTUDIO DEL SECTOR PARA CONTRATOS DE PRESTACIÓN DE SERVICIOS PROFESIONALES / APOYO A LA GESTIÓN CON PERSONA NATURAL</w:t>
          </w:r>
        </w:p>
      </w:tc>
    </w:tr>
    <w:tr w:rsidR="009B1A03" w:rsidRPr="00666AB9" w14:paraId="344CBA59" w14:textId="77777777" w:rsidTr="009B1A03">
      <w:trPr>
        <w:trHeight w:val="273"/>
      </w:trPr>
      <w:tc>
        <w:tcPr>
          <w:tcW w:w="1702" w:type="dxa"/>
          <w:vMerge/>
        </w:tcPr>
        <w:p w14:paraId="179743A9" w14:textId="77777777" w:rsidR="009B1A03" w:rsidRPr="00666AB9" w:rsidRDefault="009B1A03" w:rsidP="009B1A03">
          <w:pPr>
            <w:rPr>
              <w:rFonts w:ascii="Verdana" w:hAnsi="Verdana"/>
            </w:rPr>
          </w:pPr>
        </w:p>
      </w:tc>
      <w:tc>
        <w:tcPr>
          <w:tcW w:w="1134" w:type="dxa"/>
          <w:shd w:val="clear" w:color="auto" w:fill="BFBFBF"/>
          <w:vAlign w:val="center"/>
        </w:tcPr>
        <w:p w14:paraId="210B6930" w14:textId="77777777" w:rsidR="009B1A03" w:rsidRPr="00851B23" w:rsidRDefault="009B1A03" w:rsidP="009B1A03">
          <w:pPr>
            <w:spacing w:after="0"/>
            <w:rPr>
              <w:rFonts w:ascii="Verdana" w:eastAsia="Arial" w:hAnsi="Verdana" w:cs="Arial"/>
              <w:b/>
              <w:bCs/>
              <w:color w:val="000000"/>
              <w:sz w:val="16"/>
              <w:szCs w:val="16"/>
            </w:rPr>
          </w:pPr>
          <w:r w:rsidRPr="00851B23">
            <w:rPr>
              <w:rFonts w:ascii="Verdana" w:eastAsia="Arial" w:hAnsi="Verdana" w:cs="Arial"/>
              <w:b/>
              <w:bCs/>
              <w:color w:val="000000"/>
              <w:sz w:val="16"/>
              <w:szCs w:val="16"/>
            </w:rPr>
            <w:t>Código:</w:t>
          </w:r>
        </w:p>
      </w:tc>
      <w:tc>
        <w:tcPr>
          <w:tcW w:w="1276" w:type="dxa"/>
          <w:shd w:val="clear" w:color="auto" w:fill="FFFFFF"/>
          <w:vAlign w:val="center"/>
        </w:tcPr>
        <w:p w14:paraId="4DCF1228" w14:textId="6B8AB4B7" w:rsidR="009B1A03" w:rsidRPr="00851B23" w:rsidRDefault="009B1A03" w:rsidP="009B1A03">
          <w:pPr>
            <w:spacing w:after="0"/>
            <w:rPr>
              <w:rFonts w:ascii="Verdana" w:eastAsia="Arial" w:hAnsi="Verdana" w:cs="Arial"/>
              <w:color w:val="000000"/>
              <w:sz w:val="16"/>
              <w:szCs w:val="16"/>
            </w:rPr>
          </w:pPr>
          <w:r>
            <w:rPr>
              <w:rFonts w:ascii="Verdana" w:eastAsia="Arial" w:hAnsi="Verdana" w:cs="Arial"/>
              <w:color w:val="000000"/>
              <w:sz w:val="16"/>
              <w:szCs w:val="16"/>
            </w:rPr>
            <w:t>GR</w:t>
          </w:r>
          <w:r w:rsidRPr="00851B23">
            <w:rPr>
              <w:rFonts w:ascii="Verdana" w:eastAsia="Arial" w:hAnsi="Verdana" w:cs="Arial"/>
              <w:color w:val="000000"/>
              <w:sz w:val="16"/>
              <w:szCs w:val="16"/>
            </w:rPr>
            <w:t>-</w:t>
          </w:r>
          <w:r>
            <w:rPr>
              <w:rFonts w:ascii="Verdana" w:eastAsia="Arial" w:hAnsi="Verdana" w:cs="Arial"/>
              <w:color w:val="000000"/>
              <w:sz w:val="16"/>
              <w:szCs w:val="16"/>
            </w:rPr>
            <w:t>FM</w:t>
          </w:r>
          <w:r w:rsidRPr="00851B23">
            <w:rPr>
              <w:rFonts w:ascii="Verdana" w:eastAsia="Arial" w:hAnsi="Verdana" w:cs="Arial"/>
              <w:color w:val="000000"/>
              <w:sz w:val="16"/>
              <w:szCs w:val="16"/>
            </w:rPr>
            <w:t>-</w:t>
          </w:r>
          <w:r>
            <w:rPr>
              <w:rFonts w:ascii="Verdana" w:eastAsia="Arial" w:hAnsi="Verdana" w:cs="Arial"/>
              <w:color w:val="000000"/>
              <w:sz w:val="16"/>
              <w:szCs w:val="16"/>
            </w:rPr>
            <w:t>05</w:t>
          </w:r>
          <w:r>
            <w:rPr>
              <w:rFonts w:ascii="Verdana" w:eastAsia="Arial" w:hAnsi="Verdana" w:cs="Arial"/>
              <w:color w:val="000000"/>
              <w:sz w:val="16"/>
              <w:szCs w:val="16"/>
            </w:rPr>
            <w:t>7</w:t>
          </w:r>
          <w:r w:rsidRPr="00851B23">
            <w:rPr>
              <w:rFonts w:ascii="Verdana" w:eastAsia="Arial" w:hAnsi="Verdana" w:cs="Arial"/>
              <w:color w:val="000000"/>
              <w:sz w:val="16"/>
              <w:szCs w:val="16"/>
            </w:rPr>
            <w:t xml:space="preserve"> </w:t>
          </w:r>
        </w:p>
      </w:tc>
      <w:tc>
        <w:tcPr>
          <w:tcW w:w="1182" w:type="dxa"/>
          <w:shd w:val="clear" w:color="auto" w:fill="BFBFBF"/>
          <w:vAlign w:val="center"/>
        </w:tcPr>
        <w:p w14:paraId="1BF85975" w14:textId="77777777" w:rsidR="009B1A03" w:rsidRPr="00851B23" w:rsidRDefault="009B1A03" w:rsidP="009B1A03">
          <w:pPr>
            <w:spacing w:after="0"/>
            <w:jc w:val="right"/>
            <w:rPr>
              <w:rFonts w:ascii="Verdana" w:eastAsia="Arial" w:hAnsi="Verdana" w:cs="Arial"/>
              <w:color w:val="000000"/>
              <w:sz w:val="16"/>
              <w:szCs w:val="16"/>
            </w:rPr>
          </w:pPr>
          <w:r w:rsidRPr="00851B23">
            <w:rPr>
              <w:rFonts w:ascii="Verdana" w:eastAsia="Arial" w:hAnsi="Verdana" w:cs="Arial"/>
              <w:b/>
              <w:bCs/>
              <w:color w:val="000000"/>
              <w:sz w:val="16"/>
              <w:szCs w:val="16"/>
            </w:rPr>
            <w:t>Versión:</w:t>
          </w:r>
        </w:p>
      </w:tc>
      <w:tc>
        <w:tcPr>
          <w:tcW w:w="1185" w:type="dxa"/>
          <w:shd w:val="clear" w:color="auto" w:fill="FFFFFF"/>
          <w:vAlign w:val="center"/>
        </w:tcPr>
        <w:p w14:paraId="218C9793" w14:textId="77777777" w:rsidR="009B1A03" w:rsidRPr="00851B23" w:rsidRDefault="009B1A03" w:rsidP="009B1A03">
          <w:pPr>
            <w:spacing w:after="0"/>
            <w:rPr>
              <w:rFonts w:ascii="Verdana" w:eastAsia="Arial" w:hAnsi="Verdana" w:cs="Arial"/>
              <w:color w:val="000000"/>
              <w:sz w:val="16"/>
              <w:szCs w:val="16"/>
            </w:rPr>
          </w:pPr>
          <w:r>
            <w:rPr>
              <w:rFonts w:ascii="Verdana" w:eastAsia="Arial" w:hAnsi="Verdana" w:cs="Arial"/>
              <w:color w:val="000000"/>
              <w:sz w:val="16"/>
              <w:szCs w:val="16"/>
            </w:rPr>
            <w:t>00</w:t>
          </w:r>
        </w:p>
      </w:tc>
      <w:tc>
        <w:tcPr>
          <w:tcW w:w="1305" w:type="dxa"/>
          <w:shd w:val="clear" w:color="auto" w:fill="BFBFBF"/>
          <w:vAlign w:val="center"/>
        </w:tcPr>
        <w:p w14:paraId="299FB37A" w14:textId="77777777" w:rsidR="009B1A03" w:rsidRPr="00851B23" w:rsidRDefault="009B1A03" w:rsidP="009B1A03">
          <w:pPr>
            <w:spacing w:after="0"/>
            <w:jc w:val="right"/>
            <w:rPr>
              <w:rFonts w:ascii="Verdana" w:eastAsia="Arial" w:hAnsi="Verdana" w:cs="Arial"/>
              <w:color w:val="000000"/>
              <w:sz w:val="16"/>
              <w:szCs w:val="16"/>
            </w:rPr>
          </w:pPr>
          <w:r w:rsidRPr="00851B23">
            <w:rPr>
              <w:rFonts w:ascii="Verdana" w:eastAsia="Arial" w:hAnsi="Verdana" w:cs="Arial"/>
              <w:b/>
              <w:bCs/>
              <w:color w:val="000000"/>
              <w:sz w:val="16"/>
              <w:szCs w:val="16"/>
            </w:rPr>
            <w:t>Fecha:</w:t>
          </w:r>
        </w:p>
      </w:tc>
      <w:tc>
        <w:tcPr>
          <w:tcW w:w="2989" w:type="dxa"/>
          <w:shd w:val="clear" w:color="auto" w:fill="FFFFFF"/>
          <w:vAlign w:val="center"/>
        </w:tcPr>
        <w:p w14:paraId="6EB51753" w14:textId="77777777" w:rsidR="009B1A03" w:rsidRPr="00851B23" w:rsidRDefault="009B1A03" w:rsidP="009B1A03">
          <w:pPr>
            <w:spacing w:after="0"/>
            <w:rPr>
              <w:rFonts w:ascii="Verdana" w:eastAsia="Arial" w:hAnsi="Verdana" w:cs="Arial"/>
              <w:color w:val="000000"/>
              <w:sz w:val="16"/>
              <w:szCs w:val="16"/>
            </w:rPr>
          </w:pPr>
          <w:r>
            <w:rPr>
              <w:rFonts w:ascii="Verdana" w:eastAsia="Arial" w:hAnsi="Verdana" w:cs="Arial"/>
              <w:color w:val="000000"/>
              <w:sz w:val="16"/>
              <w:szCs w:val="16"/>
            </w:rPr>
            <w:t>12/06/2026</w:t>
          </w:r>
          <w:r w:rsidRPr="00851B23">
            <w:rPr>
              <w:rFonts w:ascii="Verdana" w:eastAsia="Arial" w:hAnsi="Verdana" w:cs="Arial"/>
              <w:color w:val="000000"/>
              <w:sz w:val="16"/>
              <w:szCs w:val="16"/>
            </w:rPr>
            <w:t xml:space="preserve"> </w:t>
          </w:r>
        </w:p>
      </w:tc>
    </w:tr>
  </w:tbl>
  <w:p w14:paraId="7740B8F1" w14:textId="77777777" w:rsidR="00D872A0" w:rsidRDefault="00D87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31A9" w14:textId="77777777" w:rsidR="005849C0" w:rsidRDefault="00000000">
    <w:pPr>
      <w:pStyle w:val="Header"/>
    </w:pPr>
    <w:r>
      <w:rPr>
        <w:noProof/>
      </w:rPr>
      <w:pict w14:anchorId="05D1B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531" o:spid="_x0000_s1025" type="#_x0000_t136" alt="" style="position:absolute;margin-left:0;margin-top:0;width:549.65pt;height:73.25pt;rotation:315;z-index:-251657216;mso-wrap-edited:f;mso-width-percent:0;mso-height-percent:0;mso-position-horizontal:center;mso-position-horizontal-relative:margin;mso-position-vertical:center;mso-position-vertical-relative:margin;mso-width-percent:0;mso-height-percent:0" o:allowincell="f" fillcolor="#f2f2f2 [3052]" stroked="f">
          <v:fill opacity=".5"/>
          <v:textpath style="font-family:&quot;Arial Narrow&quot;;font-size:1pt" string="ESTUDIO DEL SECT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3E9"/>
    <w:multiLevelType w:val="multilevel"/>
    <w:tmpl w:val="60A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4474"/>
    <w:multiLevelType w:val="hybridMultilevel"/>
    <w:tmpl w:val="FB70A9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DB2F30"/>
    <w:multiLevelType w:val="multilevel"/>
    <w:tmpl w:val="F662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049A8"/>
    <w:multiLevelType w:val="hybridMultilevel"/>
    <w:tmpl w:val="BA60AC56"/>
    <w:lvl w:ilvl="0" w:tplc="4F281D0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36712D"/>
    <w:multiLevelType w:val="multilevel"/>
    <w:tmpl w:val="4C1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60F69"/>
    <w:multiLevelType w:val="multilevel"/>
    <w:tmpl w:val="C61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555C1"/>
    <w:multiLevelType w:val="hybridMultilevel"/>
    <w:tmpl w:val="BD9491D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B23D53"/>
    <w:multiLevelType w:val="multilevel"/>
    <w:tmpl w:val="B0F8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B1613"/>
    <w:multiLevelType w:val="hybridMultilevel"/>
    <w:tmpl w:val="D572F51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B46409"/>
    <w:multiLevelType w:val="hybridMultilevel"/>
    <w:tmpl w:val="10A4B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BD1351"/>
    <w:multiLevelType w:val="hybridMultilevel"/>
    <w:tmpl w:val="EE7A6230"/>
    <w:lvl w:ilvl="0" w:tplc="92707A50">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7F5D68"/>
    <w:multiLevelType w:val="multilevel"/>
    <w:tmpl w:val="427A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17796"/>
    <w:multiLevelType w:val="multilevel"/>
    <w:tmpl w:val="1EAA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6888"/>
    <w:multiLevelType w:val="multilevel"/>
    <w:tmpl w:val="CD94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68583">
    <w:abstractNumId w:val="6"/>
  </w:num>
  <w:num w:numId="2" w16cid:durableId="2144035674">
    <w:abstractNumId w:val="10"/>
  </w:num>
  <w:num w:numId="3" w16cid:durableId="2019499337">
    <w:abstractNumId w:val="8"/>
  </w:num>
  <w:num w:numId="4" w16cid:durableId="1525291714">
    <w:abstractNumId w:val="2"/>
  </w:num>
  <w:num w:numId="5" w16cid:durableId="1054158202">
    <w:abstractNumId w:val="11"/>
  </w:num>
  <w:num w:numId="6" w16cid:durableId="293873987">
    <w:abstractNumId w:val="12"/>
  </w:num>
  <w:num w:numId="7" w16cid:durableId="1906573728">
    <w:abstractNumId w:val="7"/>
  </w:num>
  <w:num w:numId="8" w16cid:durableId="89814805">
    <w:abstractNumId w:val="0"/>
  </w:num>
  <w:num w:numId="9" w16cid:durableId="638651186">
    <w:abstractNumId w:val="4"/>
  </w:num>
  <w:num w:numId="10" w16cid:durableId="1556693594">
    <w:abstractNumId w:val="5"/>
  </w:num>
  <w:num w:numId="11" w16cid:durableId="894199504">
    <w:abstractNumId w:val="1"/>
  </w:num>
  <w:num w:numId="12" w16cid:durableId="1718695674">
    <w:abstractNumId w:val="13"/>
  </w:num>
  <w:num w:numId="13" w16cid:durableId="731200446">
    <w:abstractNumId w:val="3"/>
  </w:num>
  <w:num w:numId="14" w16cid:durableId="852574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44"/>
    <w:rsid w:val="000074F2"/>
    <w:rsid w:val="00010525"/>
    <w:rsid w:val="000244D3"/>
    <w:rsid w:val="00045654"/>
    <w:rsid w:val="00091EF7"/>
    <w:rsid w:val="000F17F7"/>
    <w:rsid w:val="0011355E"/>
    <w:rsid w:val="0012657A"/>
    <w:rsid w:val="00137126"/>
    <w:rsid w:val="00176FE0"/>
    <w:rsid w:val="0019419E"/>
    <w:rsid w:val="001C70A2"/>
    <w:rsid w:val="001D1E52"/>
    <w:rsid w:val="001D3128"/>
    <w:rsid w:val="001E0F2D"/>
    <w:rsid w:val="0020648B"/>
    <w:rsid w:val="00214CD1"/>
    <w:rsid w:val="00280596"/>
    <w:rsid w:val="00290E48"/>
    <w:rsid w:val="00293A94"/>
    <w:rsid w:val="002A26F6"/>
    <w:rsid w:val="002A6C18"/>
    <w:rsid w:val="002B6E46"/>
    <w:rsid w:val="002B706F"/>
    <w:rsid w:val="002C435F"/>
    <w:rsid w:val="002F2C8C"/>
    <w:rsid w:val="002F49DA"/>
    <w:rsid w:val="002F528E"/>
    <w:rsid w:val="00305E24"/>
    <w:rsid w:val="003230EB"/>
    <w:rsid w:val="003317CD"/>
    <w:rsid w:val="00363CEE"/>
    <w:rsid w:val="00381385"/>
    <w:rsid w:val="00394B9A"/>
    <w:rsid w:val="003A15D9"/>
    <w:rsid w:val="003C0CBA"/>
    <w:rsid w:val="003E24E4"/>
    <w:rsid w:val="00422D1C"/>
    <w:rsid w:val="00463436"/>
    <w:rsid w:val="00487874"/>
    <w:rsid w:val="004B7955"/>
    <w:rsid w:val="004D17BB"/>
    <w:rsid w:val="004E11D6"/>
    <w:rsid w:val="004F59B2"/>
    <w:rsid w:val="00503506"/>
    <w:rsid w:val="005107C3"/>
    <w:rsid w:val="0051348A"/>
    <w:rsid w:val="00514EEA"/>
    <w:rsid w:val="00553D5D"/>
    <w:rsid w:val="00570CF2"/>
    <w:rsid w:val="005838AF"/>
    <w:rsid w:val="005849C0"/>
    <w:rsid w:val="005873A2"/>
    <w:rsid w:val="00595A07"/>
    <w:rsid w:val="005E2A85"/>
    <w:rsid w:val="005E328B"/>
    <w:rsid w:val="006000E7"/>
    <w:rsid w:val="00614726"/>
    <w:rsid w:val="00640721"/>
    <w:rsid w:val="00651AAF"/>
    <w:rsid w:val="006562E5"/>
    <w:rsid w:val="00660EE3"/>
    <w:rsid w:val="00687778"/>
    <w:rsid w:val="006A1E90"/>
    <w:rsid w:val="006A4250"/>
    <w:rsid w:val="006D7A00"/>
    <w:rsid w:val="00713D7F"/>
    <w:rsid w:val="00735541"/>
    <w:rsid w:val="007465FE"/>
    <w:rsid w:val="00760E1B"/>
    <w:rsid w:val="00763864"/>
    <w:rsid w:val="00776C91"/>
    <w:rsid w:val="00793259"/>
    <w:rsid w:val="007D1201"/>
    <w:rsid w:val="007D322A"/>
    <w:rsid w:val="007E00B6"/>
    <w:rsid w:val="0083650E"/>
    <w:rsid w:val="008469C5"/>
    <w:rsid w:val="008534E1"/>
    <w:rsid w:val="008603F1"/>
    <w:rsid w:val="00890B50"/>
    <w:rsid w:val="008963A7"/>
    <w:rsid w:val="00897DC1"/>
    <w:rsid w:val="008E6633"/>
    <w:rsid w:val="008F0C5A"/>
    <w:rsid w:val="008F2866"/>
    <w:rsid w:val="008F77EA"/>
    <w:rsid w:val="009544D7"/>
    <w:rsid w:val="0095549B"/>
    <w:rsid w:val="009B1A03"/>
    <w:rsid w:val="009F6A1D"/>
    <w:rsid w:val="00A02D38"/>
    <w:rsid w:val="00A04EBA"/>
    <w:rsid w:val="00A11AF3"/>
    <w:rsid w:val="00A474EA"/>
    <w:rsid w:val="00A560FB"/>
    <w:rsid w:val="00A67538"/>
    <w:rsid w:val="00A71A90"/>
    <w:rsid w:val="00A72E00"/>
    <w:rsid w:val="00AA3C63"/>
    <w:rsid w:val="00AB50D8"/>
    <w:rsid w:val="00AD23EA"/>
    <w:rsid w:val="00B33BCB"/>
    <w:rsid w:val="00B37832"/>
    <w:rsid w:val="00B7427C"/>
    <w:rsid w:val="00B96831"/>
    <w:rsid w:val="00BC3471"/>
    <w:rsid w:val="00BC521E"/>
    <w:rsid w:val="00C03B44"/>
    <w:rsid w:val="00C14A58"/>
    <w:rsid w:val="00C463D6"/>
    <w:rsid w:val="00C66F4D"/>
    <w:rsid w:val="00C716A0"/>
    <w:rsid w:val="00C73527"/>
    <w:rsid w:val="00C768DC"/>
    <w:rsid w:val="00C963D8"/>
    <w:rsid w:val="00CB6C0D"/>
    <w:rsid w:val="00CD49A7"/>
    <w:rsid w:val="00CE1C08"/>
    <w:rsid w:val="00CE27F0"/>
    <w:rsid w:val="00D11BC4"/>
    <w:rsid w:val="00D164BF"/>
    <w:rsid w:val="00D7179A"/>
    <w:rsid w:val="00D872A0"/>
    <w:rsid w:val="00DC19D7"/>
    <w:rsid w:val="00DC3A1D"/>
    <w:rsid w:val="00DE6ABC"/>
    <w:rsid w:val="00E04B2C"/>
    <w:rsid w:val="00E47E83"/>
    <w:rsid w:val="00E52997"/>
    <w:rsid w:val="00E615A6"/>
    <w:rsid w:val="00E6460E"/>
    <w:rsid w:val="00EA7BAC"/>
    <w:rsid w:val="00EB0B2F"/>
    <w:rsid w:val="00EB42CB"/>
    <w:rsid w:val="00EB7110"/>
    <w:rsid w:val="00ED355E"/>
    <w:rsid w:val="00F11309"/>
    <w:rsid w:val="00F15CB2"/>
    <w:rsid w:val="00F67D58"/>
    <w:rsid w:val="00F73B84"/>
    <w:rsid w:val="00F90ABC"/>
    <w:rsid w:val="00FD0010"/>
    <w:rsid w:val="00FD13C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8A0FC"/>
  <w15:docId w15:val="{9C87637B-451E-48DF-8A2D-DDE95C81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24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1"/>
    <w:basedOn w:val="Normal"/>
    <w:link w:val="HeaderChar"/>
    <w:uiPriority w:val="99"/>
    <w:unhideWhenUsed/>
    <w:rsid w:val="00C03B44"/>
    <w:pPr>
      <w:tabs>
        <w:tab w:val="center" w:pos="4419"/>
        <w:tab w:val="right" w:pos="8838"/>
      </w:tabs>
      <w:spacing w:after="0" w:line="240" w:lineRule="auto"/>
    </w:pPr>
  </w:style>
  <w:style w:type="character" w:customStyle="1" w:styleId="HeaderChar">
    <w:name w:val="Header Char"/>
    <w:aliases w:val="Encabezado 1 Char"/>
    <w:basedOn w:val="DefaultParagraphFont"/>
    <w:link w:val="Header"/>
    <w:uiPriority w:val="99"/>
    <w:rsid w:val="00C03B44"/>
  </w:style>
  <w:style w:type="paragraph" w:styleId="Footer">
    <w:name w:val="footer"/>
    <w:basedOn w:val="Normal"/>
    <w:link w:val="FooterChar"/>
    <w:unhideWhenUsed/>
    <w:rsid w:val="00C03B44"/>
    <w:pPr>
      <w:tabs>
        <w:tab w:val="center" w:pos="4419"/>
        <w:tab w:val="right" w:pos="8838"/>
      </w:tabs>
      <w:spacing w:after="0" w:line="240" w:lineRule="auto"/>
    </w:pPr>
  </w:style>
  <w:style w:type="character" w:customStyle="1" w:styleId="FooterChar">
    <w:name w:val="Footer Char"/>
    <w:basedOn w:val="DefaultParagraphFont"/>
    <w:link w:val="Footer"/>
    <w:uiPriority w:val="99"/>
    <w:rsid w:val="00C03B44"/>
  </w:style>
  <w:style w:type="table" w:styleId="TableGrid">
    <w:name w:val="Table Grid"/>
    <w:basedOn w:val="TableNormal"/>
    <w:rsid w:val="0064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Paragraphe de liste1,lp1,HOJA,Colorful List Accent 1,Colorful List - Accent 11,Lista vistosa - Énfasis 111,Lista vistosa - Énfasis 12,Lista vistosa - Énfasis 13,Bulletr List Paragraph,Foot,列出段落,列出段落1,Ha"/>
    <w:basedOn w:val="Normal"/>
    <w:link w:val="ListParagraphChar"/>
    <w:uiPriority w:val="34"/>
    <w:qFormat/>
    <w:rsid w:val="00640721"/>
    <w:pPr>
      <w:ind w:left="720"/>
      <w:contextualSpacing/>
    </w:pPr>
  </w:style>
  <w:style w:type="character" w:styleId="CommentReference">
    <w:name w:val="annotation reference"/>
    <w:basedOn w:val="DefaultParagraphFont"/>
    <w:uiPriority w:val="99"/>
    <w:semiHidden/>
    <w:unhideWhenUsed/>
    <w:rsid w:val="007465FE"/>
    <w:rPr>
      <w:sz w:val="16"/>
      <w:szCs w:val="16"/>
    </w:rPr>
  </w:style>
  <w:style w:type="paragraph" w:styleId="CommentText">
    <w:name w:val="annotation text"/>
    <w:basedOn w:val="Normal"/>
    <w:link w:val="CommentTextChar"/>
    <w:uiPriority w:val="99"/>
    <w:unhideWhenUsed/>
    <w:rsid w:val="007465FE"/>
    <w:pPr>
      <w:spacing w:line="240" w:lineRule="auto"/>
    </w:pPr>
    <w:rPr>
      <w:sz w:val="20"/>
      <w:szCs w:val="20"/>
    </w:rPr>
  </w:style>
  <w:style w:type="character" w:customStyle="1" w:styleId="CommentTextChar">
    <w:name w:val="Comment Text Char"/>
    <w:basedOn w:val="DefaultParagraphFont"/>
    <w:link w:val="CommentText"/>
    <w:uiPriority w:val="99"/>
    <w:rsid w:val="007465FE"/>
    <w:rPr>
      <w:sz w:val="20"/>
      <w:szCs w:val="20"/>
    </w:rPr>
  </w:style>
  <w:style w:type="paragraph" w:styleId="CommentSubject">
    <w:name w:val="annotation subject"/>
    <w:basedOn w:val="CommentText"/>
    <w:next w:val="CommentText"/>
    <w:link w:val="CommentSubjectChar"/>
    <w:uiPriority w:val="99"/>
    <w:semiHidden/>
    <w:unhideWhenUsed/>
    <w:rsid w:val="007465FE"/>
    <w:rPr>
      <w:b/>
      <w:bCs/>
    </w:rPr>
  </w:style>
  <w:style w:type="character" w:customStyle="1" w:styleId="CommentSubjectChar">
    <w:name w:val="Comment Subject Char"/>
    <w:basedOn w:val="CommentTextChar"/>
    <w:link w:val="CommentSubject"/>
    <w:uiPriority w:val="99"/>
    <w:semiHidden/>
    <w:rsid w:val="007465FE"/>
    <w:rPr>
      <w:b/>
      <w:bCs/>
      <w:sz w:val="20"/>
      <w:szCs w:val="20"/>
    </w:rPr>
  </w:style>
  <w:style w:type="paragraph" w:styleId="BalloonText">
    <w:name w:val="Balloon Text"/>
    <w:basedOn w:val="Normal"/>
    <w:link w:val="BalloonTextChar"/>
    <w:uiPriority w:val="99"/>
    <w:semiHidden/>
    <w:unhideWhenUsed/>
    <w:rsid w:val="00746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5FE"/>
    <w:rPr>
      <w:rFonts w:ascii="Segoe UI" w:hAnsi="Segoe UI" w:cs="Segoe UI"/>
      <w:sz w:val="18"/>
      <w:szCs w:val="18"/>
    </w:rPr>
  </w:style>
  <w:style w:type="paragraph" w:styleId="Revision">
    <w:name w:val="Revision"/>
    <w:hidden/>
    <w:uiPriority w:val="99"/>
    <w:semiHidden/>
    <w:rsid w:val="00897DC1"/>
    <w:pPr>
      <w:spacing w:after="0" w:line="240" w:lineRule="auto"/>
    </w:pPr>
  </w:style>
  <w:style w:type="paragraph" w:styleId="EndnoteText">
    <w:name w:val="endnote text"/>
    <w:basedOn w:val="Normal"/>
    <w:link w:val="EndnoteTextChar"/>
    <w:uiPriority w:val="99"/>
    <w:semiHidden/>
    <w:unhideWhenUsed/>
    <w:rsid w:val="002B6E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6E46"/>
    <w:rPr>
      <w:sz w:val="20"/>
      <w:szCs w:val="20"/>
    </w:rPr>
  </w:style>
  <w:style w:type="character" w:styleId="EndnoteReference">
    <w:name w:val="endnote reference"/>
    <w:basedOn w:val="DefaultParagraphFont"/>
    <w:uiPriority w:val="99"/>
    <w:semiHidden/>
    <w:unhideWhenUsed/>
    <w:rsid w:val="002B6E46"/>
    <w:rPr>
      <w:vertAlign w:val="superscript"/>
    </w:rPr>
  </w:style>
  <w:style w:type="paragraph" w:styleId="FootnoteText">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FootnoteTextChar1"/>
    <w:unhideWhenUsed/>
    <w:qFormat/>
    <w:rsid w:val="002B6E46"/>
    <w:pPr>
      <w:spacing w:after="0" w:line="240" w:lineRule="auto"/>
    </w:pPr>
    <w:rPr>
      <w:sz w:val="20"/>
      <w:szCs w:val="20"/>
    </w:rPr>
  </w:style>
  <w:style w:type="character" w:customStyle="1" w:styleId="FootnoteTextChar1">
    <w:name w:val="Footnote Text Char1"/>
    <w:aliases w:val="Footnote Text Char Char Char Char Char Char,Footnote Text Char Char Char Char Char1,Footnote reference Char,FA Fu Char,Footnote Text Cha Char,Footnote Text Char Char Char Char1,FA Fußnotentext Char,FA Fuﬂnotentext Char,ft Char"/>
    <w:basedOn w:val="DefaultParagraphFont"/>
    <w:link w:val="FootnoteText"/>
    <w:rsid w:val="002B6E46"/>
    <w:rPr>
      <w:sz w:val="20"/>
      <w:szCs w:val="20"/>
    </w:rPr>
  </w:style>
  <w:style w:type="character" w:styleId="FootnoteReference">
    <w:name w:val="footnote reference"/>
    <w:aliases w:val="Ref,de nota al pie,FC,Appel note de bas de p,Ref. de nota al pie 2,Pie de Página,Texto de nota al p,Texto de nota al pie,Pie de Pàgina,F,Pie de P_gin,Pie de P_g,Texto de nota al pi,Pie de P_,Pie de P‡gina,Pie de P·gina,Pie de P,f"/>
    <w:basedOn w:val="DefaultParagraphFont"/>
    <w:unhideWhenUsed/>
    <w:rsid w:val="002B6E46"/>
    <w:rPr>
      <w:vertAlign w:val="superscript"/>
    </w:rPr>
  </w:style>
  <w:style w:type="paragraph" w:styleId="NormalWeb">
    <w:name w:val="Normal (Web)"/>
    <w:basedOn w:val="Normal"/>
    <w:uiPriority w:val="99"/>
    <w:semiHidden/>
    <w:unhideWhenUsed/>
    <w:rsid w:val="005E2A8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yperlink">
    <w:name w:val="Hyperlink"/>
    <w:basedOn w:val="DefaultParagraphFont"/>
    <w:uiPriority w:val="99"/>
    <w:unhideWhenUsed/>
    <w:rsid w:val="003E24E4"/>
    <w:rPr>
      <w:color w:val="0563C1" w:themeColor="hyperlink"/>
      <w:u w:val="single"/>
    </w:rPr>
  </w:style>
  <w:style w:type="character" w:styleId="UnresolvedMention">
    <w:name w:val="Unresolved Mention"/>
    <w:basedOn w:val="DefaultParagraphFont"/>
    <w:uiPriority w:val="99"/>
    <w:semiHidden/>
    <w:unhideWhenUsed/>
    <w:rsid w:val="003E24E4"/>
    <w:rPr>
      <w:color w:val="605E5C"/>
      <w:shd w:val="clear" w:color="auto" w:fill="E1DFDD"/>
    </w:rPr>
  </w:style>
  <w:style w:type="character" w:customStyle="1" w:styleId="Heading2Char">
    <w:name w:val="Heading 2 Char"/>
    <w:basedOn w:val="DefaultParagraphFont"/>
    <w:link w:val="Heading2"/>
    <w:uiPriority w:val="9"/>
    <w:rsid w:val="003E24E4"/>
    <w:rPr>
      <w:rFonts w:asciiTheme="majorHAnsi" w:eastAsiaTheme="majorEastAsia" w:hAnsiTheme="majorHAnsi" w:cstheme="majorBidi"/>
      <w:color w:val="2E74B5" w:themeColor="accent1" w:themeShade="BF"/>
      <w:sz w:val="26"/>
      <w:szCs w:val="26"/>
    </w:rPr>
  </w:style>
  <w:style w:type="paragraph" w:customStyle="1" w:styleId="Default">
    <w:name w:val="Default"/>
    <w:rsid w:val="008534E1"/>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ListParagraphChar">
    <w:name w:val="List Paragraph Char"/>
    <w:aliases w:val="Bullet List Char,FooterText Char,numbered Char,Paragraphe de liste1 Char,lp1 Char,HOJA Char,Colorful List Accent 1 Char,Colorful List - Accent 11 Char,Lista vistosa - Énfasis 111 Char,Lista vistosa - Énfasis 12 Char,Foot Char,Ha Char"/>
    <w:link w:val="ListParagraph"/>
    <w:uiPriority w:val="34"/>
    <w:qFormat/>
    <w:locked/>
    <w:rsid w:val="008534E1"/>
  </w:style>
  <w:style w:type="table" w:styleId="PlainTable1">
    <w:name w:val="Plain Table 1"/>
    <w:basedOn w:val="TableNormal"/>
    <w:uiPriority w:val="41"/>
    <w:rsid w:val="00C463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1635">
      <w:bodyDiv w:val="1"/>
      <w:marLeft w:val="0"/>
      <w:marRight w:val="0"/>
      <w:marTop w:val="0"/>
      <w:marBottom w:val="0"/>
      <w:divBdr>
        <w:top w:val="none" w:sz="0" w:space="0" w:color="auto"/>
        <w:left w:val="none" w:sz="0" w:space="0" w:color="auto"/>
        <w:bottom w:val="none" w:sz="0" w:space="0" w:color="auto"/>
        <w:right w:val="none" w:sz="0" w:space="0" w:color="auto"/>
      </w:divBdr>
    </w:div>
    <w:div w:id="209347685">
      <w:bodyDiv w:val="1"/>
      <w:marLeft w:val="0"/>
      <w:marRight w:val="0"/>
      <w:marTop w:val="0"/>
      <w:marBottom w:val="0"/>
      <w:divBdr>
        <w:top w:val="none" w:sz="0" w:space="0" w:color="auto"/>
        <w:left w:val="none" w:sz="0" w:space="0" w:color="auto"/>
        <w:bottom w:val="none" w:sz="0" w:space="0" w:color="auto"/>
        <w:right w:val="none" w:sz="0" w:space="0" w:color="auto"/>
      </w:divBdr>
    </w:div>
    <w:div w:id="233242670">
      <w:bodyDiv w:val="1"/>
      <w:marLeft w:val="0"/>
      <w:marRight w:val="0"/>
      <w:marTop w:val="0"/>
      <w:marBottom w:val="0"/>
      <w:divBdr>
        <w:top w:val="none" w:sz="0" w:space="0" w:color="auto"/>
        <w:left w:val="none" w:sz="0" w:space="0" w:color="auto"/>
        <w:bottom w:val="none" w:sz="0" w:space="0" w:color="auto"/>
        <w:right w:val="none" w:sz="0" w:space="0" w:color="auto"/>
      </w:divBdr>
    </w:div>
    <w:div w:id="528689768">
      <w:bodyDiv w:val="1"/>
      <w:marLeft w:val="0"/>
      <w:marRight w:val="0"/>
      <w:marTop w:val="0"/>
      <w:marBottom w:val="0"/>
      <w:divBdr>
        <w:top w:val="none" w:sz="0" w:space="0" w:color="auto"/>
        <w:left w:val="none" w:sz="0" w:space="0" w:color="auto"/>
        <w:bottom w:val="none" w:sz="0" w:space="0" w:color="auto"/>
        <w:right w:val="none" w:sz="0" w:space="0" w:color="auto"/>
      </w:divBdr>
    </w:div>
    <w:div w:id="658464740">
      <w:bodyDiv w:val="1"/>
      <w:marLeft w:val="0"/>
      <w:marRight w:val="0"/>
      <w:marTop w:val="0"/>
      <w:marBottom w:val="0"/>
      <w:divBdr>
        <w:top w:val="none" w:sz="0" w:space="0" w:color="auto"/>
        <w:left w:val="none" w:sz="0" w:space="0" w:color="auto"/>
        <w:bottom w:val="none" w:sz="0" w:space="0" w:color="auto"/>
        <w:right w:val="none" w:sz="0" w:space="0" w:color="auto"/>
      </w:divBdr>
    </w:div>
    <w:div w:id="801967624">
      <w:bodyDiv w:val="1"/>
      <w:marLeft w:val="0"/>
      <w:marRight w:val="0"/>
      <w:marTop w:val="0"/>
      <w:marBottom w:val="0"/>
      <w:divBdr>
        <w:top w:val="none" w:sz="0" w:space="0" w:color="auto"/>
        <w:left w:val="none" w:sz="0" w:space="0" w:color="auto"/>
        <w:bottom w:val="none" w:sz="0" w:space="0" w:color="auto"/>
        <w:right w:val="none" w:sz="0" w:space="0" w:color="auto"/>
      </w:divBdr>
    </w:div>
    <w:div w:id="818377243">
      <w:bodyDiv w:val="1"/>
      <w:marLeft w:val="0"/>
      <w:marRight w:val="0"/>
      <w:marTop w:val="0"/>
      <w:marBottom w:val="0"/>
      <w:divBdr>
        <w:top w:val="none" w:sz="0" w:space="0" w:color="auto"/>
        <w:left w:val="none" w:sz="0" w:space="0" w:color="auto"/>
        <w:bottom w:val="none" w:sz="0" w:space="0" w:color="auto"/>
        <w:right w:val="none" w:sz="0" w:space="0" w:color="auto"/>
      </w:divBdr>
    </w:div>
    <w:div w:id="1149517476">
      <w:bodyDiv w:val="1"/>
      <w:marLeft w:val="0"/>
      <w:marRight w:val="0"/>
      <w:marTop w:val="0"/>
      <w:marBottom w:val="0"/>
      <w:divBdr>
        <w:top w:val="none" w:sz="0" w:space="0" w:color="auto"/>
        <w:left w:val="none" w:sz="0" w:space="0" w:color="auto"/>
        <w:bottom w:val="none" w:sz="0" w:space="0" w:color="auto"/>
        <w:right w:val="none" w:sz="0" w:space="0" w:color="auto"/>
      </w:divBdr>
      <w:divsChild>
        <w:div w:id="988168168">
          <w:marLeft w:val="0"/>
          <w:marRight w:val="0"/>
          <w:marTop w:val="0"/>
          <w:marBottom w:val="0"/>
          <w:divBdr>
            <w:top w:val="none" w:sz="0" w:space="0" w:color="auto"/>
            <w:left w:val="none" w:sz="0" w:space="0" w:color="auto"/>
            <w:bottom w:val="none" w:sz="0" w:space="0" w:color="auto"/>
            <w:right w:val="none" w:sz="0" w:space="0" w:color="auto"/>
          </w:divBdr>
          <w:divsChild>
            <w:div w:id="1067460218">
              <w:marLeft w:val="0"/>
              <w:marRight w:val="0"/>
              <w:marTop w:val="0"/>
              <w:marBottom w:val="0"/>
              <w:divBdr>
                <w:top w:val="none" w:sz="0" w:space="0" w:color="auto"/>
                <w:left w:val="none" w:sz="0" w:space="0" w:color="auto"/>
                <w:bottom w:val="none" w:sz="0" w:space="0" w:color="auto"/>
                <w:right w:val="none" w:sz="0" w:space="0" w:color="auto"/>
              </w:divBdr>
              <w:divsChild>
                <w:div w:id="576982579">
                  <w:marLeft w:val="0"/>
                  <w:marRight w:val="0"/>
                  <w:marTop w:val="0"/>
                  <w:marBottom w:val="0"/>
                  <w:divBdr>
                    <w:top w:val="none" w:sz="0" w:space="0" w:color="auto"/>
                    <w:left w:val="none" w:sz="0" w:space="0" w:color="auto"/>
                    <w:bottom w:val="none" w:sz="0" w:space="0" w:color="auto"/>
                    <w:right w:val="none" w:sz="0" w:space="0" w:color="auto"/>
                  </w:divBdr>
                  <w:divsChild>
                    <w:div w:id="3786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22627">
      <w:bodyDiv w:val="1"/>
      <w:marLeft w:val="0"/>
      <w:marRight w:val="0"/>
      <w:marTop w:val="0"/>
      <w:marBottom w:val="0"/>
      <w:divBdr>
        <w:top w:val="none" w:sz="0" w:space="0" w:color="auto"/>
        <w:left w:val="none" w:sz="0" w:space="0" w:color="auto"/>
        <w:bottom w:val="none" w:sz="0" w:space="0" w:color="auto"/>
        <w:right w:val="none" w:sz="0" w:space="0" w:color="auto"/>
      </w:divBdr>
      <w:divsChild>
        <w:div w:id="2026053980">
          <w:marLeft w:val="0"/>
          <w:marRight w:val="0"/>
          <w:marTop w:val="0"/>
          <w:marBottom w:val="0"/>
          <w:divBdr>
            <w:top w:val="none" w:sz="0" w:space="0" w:color="auto"/>
            <w:left w:val="none" w:sz="0" w:space="0" w:color="auto"/>
            <w:bottom w:val="none" w:sz="0" w:space="0" w:color="auto"/>
            <w:right w:val="none" w:sz="0" w:space="0" w:color="auto"/>
          </w:divBdr>
          <w:divsChild>
            <w:div w:id="500434717">
              <w:marLeft w:val="0"/>
              <w:marRight w:val="0"/>
              <w:marTop w:val="0"/>
              <w:marBottom w:val="0"/>
              <w:divBdr>
                <w:top w:val="none" w:sz="0" w:space="0" w:color="auto"/>
                <w:left w:val="none" w:sz="0" w:space="0" w:color="auto"/>
                <w:bottom w:val="none" w:sz="0" w:space="0" w:color="auto"/>
                <w:right w:val="none" w:sz="0" w:space="0" w:color="auto"/>
              </w:divBdr>
              <w:divsChild>
                <w:div w:id="1569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ne.gov.co/index.php/estadisticas-por-tema/demografia-y-poblacion/censo-nacional-de-poblacion-y-vivenda-2018/cuantos-somos" TargetMode="External"/><Relationship Id="rId18" Type="http://schemas.openxmlformats.org/officeDocument/2006/relationships/hyperlink" Target="https://www.dane.gov.co/index.php/estadisticas-por-tema/precios-y-costos/indice-de-precios-al-consumidor-ipc/ipc-informacion-tecnic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dane.gov.co/index.php/estadisticas-por-tema/precios-y-costos/indice-de-precios-del-productor-ip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ctualicese.com/costo-de-la-contratacion-de-un-trabajador-que-devenga-un-salario-minimo-caso-practico/" TargetMode="External"/><Relationship Id="rId5" Type="http://schemas.openxmlformats.org/officeDocument/2006/relationships/numbering" Target="numbering.xml"/><Relationship Id="rId15" Type="http://schemas.openxmlformats.org/officeDocument/2006/relationships/hyperlink" Target="https://www.dane.gov.co/index.php/estadisticas-por-tema/cuentas-nacionales/cuentas-nacionales-trimestrales/pib-informacion-tecnica" TargetMode="External"/><Relationship Id="rId23" Type="http://schemas.openxmlformats.org/officeDocument/2006/relationships/hyperlink" Target="https://www.dane.gov.co/index.php/estadisticas-por-tema/mercado-laboral/empleo-y-desempleo"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d0fe9e-8728-4812-b9b4-6538b2501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9332C15C66ED4F87FABFC9CB536762" ma:contentTypeVersion="17" ma:contentTypeDescription="Crear nuevo documento." ma:contentTypeScope="" ma:versionID="17e7ce2373fe5640a13cd81e9f6bc82b">
  <xsd:schema xmlns:xsd="http://www.w3.org/2001/XMLSchema" xmlns:xs="http://www.w3.org/2001/XMLSchema" xmlns:p="http://schemas.microsoft.com/office/2006/metadata/properties" xmlns:ns3="aa566a8a-6713-4a80-931c-22c062d99736" xmlns:ns4="82d0fe9e-8728-4812-b9b4-6538b2501592" targetNamespace="http://schemas.microsoft.com/office/2006/metadata/properties" ma:root="true" ma:fieldsID="feeb3b59c21e00f9e13c74888b7f41a4" ns3:_="" ns4:_="">
    <xsd:import namespace="aa566a8a-6713-4a80-931c-22c062d99736"/>
    <xsd:import namespace="82d0fe9e-8728-4812-b9b4-6538b2501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6a8a-6713-4a80-931c-22c062d9973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0fe9e-8728-4812-b9b4-6538b250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F26D-2B6D-4B6C-8FF6-80973E8A045C}">
  <ds:schemaRefs>
    <ds:schemaRef ds:uri="http://schemas.microsoft.com/office/2006/metadata/properties"/>
    <ds:schemaRef ds:uri="http://schemas.microsoft.com/office/infopath/2007/PartnerControls"/>
    <ds:schemaRef ds:uri="82d0fe9e-8728-4812-b9b4-6538b2501592"/>
  </ds:schemaRefs>
</ds:datastoreItem>
</file>

<file path=customXml/itemProps2.xml><?xml version="1.0" encoding="utf-8"?>
<ds:datastoreItem xmlns:ds="http://schemas.openxmlformats.org/officeDocument/2006/customXml" ds:itemID="{55CC00EF-586E-4F5A-B650-9790010835D8}">
  <ds:schemaRefs>
    <ds:schemaRef ds:uri="http://schemas.microsoft.com/sharepoint/v3/contenttype/forms"/>
  </ds:schemaRefs>
</ds:datastoreItem>
</file>

<file path=customXml/itemProps3.xml><?xml version="1.0" encoding="utf-8"?>
<ds:datastoreItem xmlns:ds="http://schemas.openxmlformats.org/officeDocument/2006/customXml" ds:itemID="{715F05DA-E53E-466D-8FB1-F95F7C4B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6a8a-6713-4a80-931c-22c062d99736"/>
    <ds:schemaRef ds:uri="82d0fe9e-8728-4812-b9b4-6538b25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E8F99-13C4-4188-8908-940FAAB5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5175</Words>
  <Characters>28464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Wilmer Duque Patiño - Cont</dc:creator>
  <cp:lastModifiedBy>Jefferson Orlando Lopez Saavedra</cp:lastModifiedBy>
  <cp:revision>2</cp:revision>
  <cp:lastPrinted>2025-12-15T21:12:00Z</cp:lastPrinted>
  <dcterms:created xsi:type="dcterms:W3CDTF">2026-06-09T00:45:00Z</dcterms:created>
  <dcterms:modified xsi:type="dcterms:W3CDTF">2026-06-09T00:45:00Z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ies>
</file>