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1D59" w14:textId="77777777" w:rsidR="00BC5282" w:rsidRPr="0085358D" w:rsidRDefault="00BC5282" w:rsidP="00BC5282">
      <w:pPr>
        <w:pStyle w:val="NormalWeb"/>
        <w:spacing w:before="99" w:beforeAutospacing="0" w:after="99" w:afterAutospacing="0"/>
        <w:jc w:val="center"/>
        <w:rPr>
          <w:rFonts w:ascii="Verdana" w:hAnsi="Verdana"/>
          <w:b/>
          <w:color w:val="000000" w:themeColor="text1"/>
        </w:rPr>
      </w:pPr>
      <w:r w:rsidRPr="0085358D">
        <w:rPr>
          <w:rFonts w:ascii="Verdana" w:hAnsi="Verdana"/>
          <w:b/>
          <w:color w:val="000000" w:themeColor="text1"/>
        </w:rPr>
        <w:t>MEMORANDO NOTIFICACIÓN INICIO DE EJECUCIÓN CONTRATO</w:t>
      </w:r>
      <w:r w:rsidR="00454D9B" w:rsidRPr="0085358D">
        <w:rPr>
          <w:rFonts w:ascii="Verdana" w:hAnsi="Verdana"/>
          <w:b/>
          <w:color w:val="000000" w:themeColor="text1"/>
        </w:rPr>
        <w:t>/CONVENIO</w:t>
      </w:r>
      <w:r w:rsidRPr="0085358D">
        <w:rPr>
          <w:rFonts w:ascii="Verdana" w:hAnsi="Verdana"/>
          <w:b/>
          <w:color w:val="000000" w:themeColor="text1"/>
        </w:rPr>
        <w:t xml:space="preserve"> ESTATAL</w:t>
      </w:r>
    </w:p>
    <w:p w14:paraId="4588B56B" w14:textId="77777777" w:rsidR="00BC5282" w:rsidRPr="0085358D" w:rsidRDefault="00BC5282" w:rsidP="008A6E55">
      <w:pPr>
        <w:pStyle w:val="NormalWeb"/>
        <w:spacing w:before="99" w:beforeAutospacing="0" w:after="99" w:afterAutospacing="0"/>
        <w:jc w:val="both"/>
        <w:rPr>
          <w:rFonts w:ascii="Verdana" w:hAnsi="Verdana"/>
          <w:color w:val="000000" w:themeColor="text1"/>
        </w:rPr>
      </w:pPr>
    </w:p>
    <w:p w14:paraId="28A49FAA" w14:textId="77777777" w:rsidR="00BC5282" w:rsidRPr="0085358D" w:rsidRDefault="00BC5282" w:rsidP="008A6E55">
      <w:pPr>
        <w:pStyle w:val="NormalWeb"/>
        <w:spacing w:before="99" w:beforeAutospacing="0" w:after="99" w:afterAutospacing="0"/>
        <w:jc w:val="both"/>
        <w:rPr>
          <w:rFonts w:ascii="Verdana" w:hAnsi="Verdana"/>
          <w:color w:val="000000" w:themeColor="text1"/>
        </w:rPr>
      </w:pPr>
      <w:r w:rsidRPr="0085358D">
        <w:rPr>
          <w:rFonts w:ascii="Verdana" w:hAnsi="Verdana"/>
          <w:color w:val="000000" w:themeColor="text1"/>
        </w:rPr>
        <w:t>Para: (Nombre completo superviso</w:t>
      </w:r>
      <w:r w:rsidR="00454D9B" w:rsidRPr="0085358D">
        <w:rPr>
          <w:rFonts w:ascii="Verdana" w:hAnsi="Verdana"/>
          <w:color w:val="000000" w:themeColor="text1"/>
        </w:rPr>
        <w:t>r</w:t>
      </w:r>
      <w:r w:rsidRPr="0085358D">
        <w:rPr>
          <w:rFonts w:ascii="Verdana" w:hAnsi="Verdana"/>
          <w:color w:val="000000" w:themeColor="text1"/>
        </w:rPr>
        <w:t xml:space="preserve"> del contrato</w:t>
      </w:r>
      <w:r w:rsidR="00454D9B" w:rsidRPr="0085358D">
        <w:rPr>
          <w:rFonts w:ascii="Verdana" w:hAnsi="Verdana"/>
          <w:color w:val="000000" w:themeColor="text1"/>
        </w:rPr>
        <w:t>/convenio</w:t>
      </w:r>
      <w:r w:rsidRPr="0085358D">
        <w:rPr>
          <w:rFonts w:ascii="Verdana" w:hAnsi="Verdana"/>
          <w:color w:val="000000" w:themeColor="text1"/>
        </w:rPr>
        <w:t xml:space="preserve"> conforme lo dispuesto en el estudio previo) </w:t>
      </w:r>
    </w:p>
    <w:p w14:paraId="3BE61EAD" w14:textId="2925A278" w:rsidR="00BC5282" w:rsidRPr="0085358D" w:rsidRDefault="00BC5282" w:rsidP="008A6E55">
      <w:pPr>
        <w:pStyle w:val="NormalWeb"/>
        <w:spacing w:before="99" w:beforeAutospacing="0" w:after="99" w:afterAutospacing="0"/>
        <w:jc w:val="both"/>
        <w:rPr>
          <w:rFonts w:ascii="Verdana" w:hAnsi="Verdana"/>
          <w:color w:val="000000" w:themeColor="text1"/>
          <w:sz w:val="20"/>
          <w:szCs w:val="20"/>
        </w:rPr>
      </w:pPr>
      <w:r w:rsidRPr="0085358D">
        <w:rPr>
          <w:rFonts w:ascii="Verdana" w:hAnsi="Verdana"/>
          <w:color w:val="000000" w:themeColor="text1"/>
        </w:rPr>
        <w:t>Asunto: NOTIFICACIÓN INICIO EJECUCIÓN CONTRATO</w:t>
      </w:r>
      <w:r w:rsidR="00454D9B" w:rsidRPr="0085358D">
        <w:rPr>
          <w:rFonts w:ascii="Verdana" w:hAnsi="Verdana"/>
          <w:color w:val="000000" w:themeColor="text1"/>
        </w:rPr>
        <w:t>/CONVENIO</w:t>
      </w:r>
      <w:r w:rsidRPr="0085358D">
        <w:rPr>
          <w:rFonts w:ascii="Verdana" w:hAnsi="Verdana"/>
          <w:color w:val="000000" w:themeColor="text1"/>
        </w:rPr>
        <w:t xml:space="preserve"> </w:t>
      </w:r>
      <w:proofErr w:type="spellStart"/>
      <w:r w:rsidRPr="0085358D">
        <w:rPr>
          <w:rFonts w:ascii="Verdana" w:hAnsi="Verdana"/>
          <w:color w:val="000000" w:themeColor="text1"/>
        </w:rPr>
        <w:t>N°</w:t>
      </w:r>
      <w:proofErr w:type="spellEnd"/>
      <w:r w:rsidRPr="0085358D">
        <w:rPr>
          <w:rFonts w:ascii="Verdana" w:hAnsi="Verdana"/>
          <w:color w:val="000000" w:themeColor="text1"/>
        </w:rPr>
        <w:t xml:space="preserve"> XXXXXXXX SUSCRITO</w:t>
      </w:r>
      <w:r w:rsidR="00454D9B" w:rsidRPr="0085358D">
        <w:rPr>
          <w:rFonts w:ascii="Verdana" w:hAnsi="Verdana"/>
          <w:color w:val="000000" w:themeColor="text1"/>
        </w:rPr>
        <w:t xml:space="preserve"> CON</w:t>
      </w:r>
      <w:r w:rsidRPr="0085358D">
        <w:rPr>
          <w:rFonts w:ascii="Verdana" w:hAnsi="Verdana"/>
          <w:color w:val="000000" w:themeColor="text1"/>
        </w:rPr>
        <w:t xml:space="preserve"> XXXXXX </w:t>
      </w:r>
    </w:p>
    <w:p w14:paraId="086EC25D" w14:textId="23D6AE50" w:rsidR="00133B57" w:rsidRPr="0085358D" w:rsidRDefault="008A6E55" w:rsidP="008A6E55">
      <w:pPr>
        <w:pStyle w:val="NormalWeb"/>
        <w:spacing w:before="99" w:beforeAutospacing="0" w:after="99" w:afterAutospacing="0"/>
        <w:jc w:val="both"/>
        <w:rPr>
          <w:rFonts w:ascii="Verdana" w:hAnsi="Verdana"/>
          <w:color w:val="000000" w:themeColor="text1"/>
          <w:sz w:val="20"/>
          <w:szCs w:val="20"/>
        </w:rPr>
      </w:pPr>
      <w:r w:rsidRPr="0085358D">
        <w:rPr>
          <w:rFonts w:ascii="Verdana" w:hAnsi="Verdana"/>
          <w:color w:val="000000" w:themeColor="text1"/>
          <w:sz w:val="20"/>
          <w:szCs w:val="20"/>
        </w:rPr>
        <w:t>Cordial saludo: </w:t>
      </w:r>
    </w:p>
    <w:p w14:paraId="1C230F8D" w14:textId="75BF38E1" w:rsidR="008A6E55" w:rsidRPr="0085358D" w:rsidRDefault="008A6E55" w:rsidP="008A6E55">
      <w:pPr>
        <w:pStyle w:val="NormalWeb"/>
        <w:spacing w:before="99" w:beforeAutospacing="0" w:after="99" w:afterAutospacing="0"/>
        <w:jc w:val="both"/>
        <w:rPr>
          <w:rFonts w:ascii="Verdana" w:hAnsi="Verdana"/>
          <w:color w:val="000000" w:themeColor="text1"/>
        </w:rPr>
      </w:pPr>
      <w:r w:rsidRPr="0085358D">
        <w:rPr>
          <w:rFonts w:ascii="Verdana" w:hAnsi="Verdana"/>
          <w:color w:val="000000" w:themeColor="text1"/>
          <w:sz w:val="20"/>
          <w:szCs w:val="20"/>
        </w:rPr>
        <w:t xml:space="preserve">De manera atenta me permito comunicarle </w:t>
      </w:r>
      <w:proofErr w:type="gramStart"/>
      <w:r w:rsidRPr="0085358D">
        <w:rPr>
          <w:rFonts w:ascii="Verdana" w:hAnsi="Verdana"/>
          <w:color w:val="000000" w:themeColor="text1"/>
          <w:sz w:val="20"/>
          <w:szCs w:val="20"/>
        </w:rPr>
        <w:t>de acuerdo a</w:t>
      </w:r>
      <w:proofErr w:type="gramEnd"/>
      <w:r w:rsidRPr="0085358D">
        <w:rPr>
          <w:rFonts w:ascii="Verdana" w:hAnsi="Verdana"/>
          <w:color w:val="000000" w:themeColor="text1"/>
          <w:sz w:val="20"/>
          <w:szCs w:val="20"/>
        </w:rPr>
        <w:t xml:space="preserve"> su designación como supervisor del Contrato</w:t>
      </w:r>
      <w:r w:rsidR="00454D9B" w:rsidRPr="0085358D">
        <w:rPr>
          <w:rFonts w:ascii="Verdana" w:hAnsi="Verdana"/>
          <w:color w:val="000000" w:themeColor="text1"/>
          <w:sz w:val="20"/>
          <w:szCs w:val="20"/>
        </w:rPr>
        <w:t>/Convenio</w:t>
      </w:r>
      <w:r w:rsidRPr="0085358D">
        <w:rPr>
          <w:rFonts w:ascii="Verdana" w:hAnsi="Verdana"/>
          <w:color w:val="000000" w:themeColor="text1"/>
          <w:sz w:val="20"/>
          <w:szCs w:val="20"/>
        </w:rPr>
        <w:t xml:space="preserve"> de</w:t>
      </w:r>
      <w:r w:rsidR="00BC5282" w:rsidRPr="0085358D">
        <w:rPr>
          <w:rFonts w:ascii="Verdana" w:hAnsi="Verdana"/>
          <w:color w:val="000000" w:themeColor="text1"/>
          <w:sz w:val="20"/>
          <w:szCs w:val="20"/>
        </w:rPr>
        <w:t xml:space="preserve"> </w:t>
      </w:r>
      <w:proofErr w:type="spellStart"/>
      <w:proofErr w:type="gramStart"/>
      <w:r w:rsidR="00BC5282" w:rsidRPr="0085358D">
        <w:rPr>
          <w:rFonts w:ascii="Verdana" w:hAnsi="Verdana"/>
          <w:color w:val="000000" w:themeColor="text1"/>
          <w:sz w:val="20"/>
          <w:szCs w:val="20"/>
        </w:rPr>
        <w:t>xxxxx</w:t>
      </w:r>
      <w:proofErr w:type="spellEnd"/>
      <w:r w:rsidR="00BC5282" w:rsidRPr="0085358D">
        <w:rPr>
          <w:rFonts w:ascii="Verdana" w:hAnsi="Verdana"/>
          <w:color w:val="000000" w:themeColor="text1"/>
          <w:sz w:val="20"/>
          <w:szCs w:val="20"/>
        </w:rPr>
        <w:t xml:space="preserve"> </w:t>
      </w:r>
      <w:r w:rsidRPr="0085358D">
        <w:rPr>
          <w:rFonts w:ascii="Verdana" w:hAnsi="Verdana"/>
          <w:color w:val="000000" w:themeColor="text1"/>
          <w:sz w:val="20"/>
          <w:szCs w:val="20"/>
        </w:rPr>
        <w:t xml:space="preserve"> </w:t>
      </w:r>
      <w:proofErr w:type="spellStart"/>
      <w:r w:rsidR="00BC5282" w:rsidRPr="0085358D">
        <w:rPr>
          <w:rFonts w:ascii="Verdana" w:hAnsi="Verdana"/>
          <w:color w:val="000000" w:themeColor="text1"/>
          <w:sz w:val="20"/>
          <w:szCs w:val="20"/>
        </w:rPr>
        <w:t>N</w:t>
      </w:r>
      <w:proofErr w:type="gramEnd"/>
      <w:r w:rsidR="00BC5282" w:rsidRPr="0085358D">
        <w:rPr>
          <w:rFonts w:ascii="Verdana" w:hAnsi="Verdana"/>
          <w:color w:val="000000" w:themeColor="text1"/>
          <w:sz w:val="20"/>
          <w:szCs w:val="20"/>
        </w:rPr>
        <w:t>°</w:t>
      </w:r>
      <w:proofErr w:type="spellEnd"/>
      <w:r w:rsidR="00BC5282" w:rsidRPr="0085358D">
        <w:rPr>
          <w:rFonts w:ascii="Verdana" w:hAnsi="Verdana"/>
          <w:color w:val="000000" w:themeColor="text1"/>
          <w:sz w:val="20"/>
          <w:szCs w:val="20"/>
        </w:rPr>
        <w:t xml:space="preserve"> xxx-202x</w:t>
      </w:r>
      <w:r w:rsidRPr="0085358D">
        <w:rPr>
          <w:rFonts w:ascii="Verdana" w:hAnsi="Verdana"/>
          <w:color w:val="000000" w:themeColor="text1"/>
          <w:sz w:val="20"/>
          <w:szCs w:val="20"/>
        </w:rPr>
        <w:t>, cuyo objeto es "</w:t>
      </w:r>
      <w:proofErr w:type="spellStart"/>
      <w:r w:rsidR="00BC5282" w:rsidRPr="0085358D">
        <w:rPr>
          <w:rFonts w:ascii="Verdana" w:hAnsi="Verdana"/>
          <w:i/>
          <w:iCs/>
          <w:color w:val="000000" w:themeColor="text1"/>
          <w:sz w:val="20"/>
          <w:szCs w:val="20"/>
          <w:shd w:val="clear" w:color="auto" w:fill="FFFFFF"/>
        </w:rPr>
        <w:t>xxxxxxxxxxxxxxx</w:t>
      </w:r>
      <w:proofErr w:type="spellEnd"/>
      <w:r w:rsidRPr="0085358D">
        <w:rPr>
          <w:rFonts w:ascii="Verdana" w:hAnsi="Verdana"/>
          <w:i/>
          <w:iCs/>
          <w:color w:val="000000" w:themeColor="text1"/>
          <w:sz w:val="20"/>
          <w:szCs w:val="20"/>
          <w:shd w:val="clear" w:color="auto" w:fill="FFFFFF"/>
        </w:rPr>
        <w:t>"</w:t>
      </w:r>
      <w:r w:rsidRPr="0085358D">
        <w:rPr>
          <w:rFonts w:ascii="Verdana" w:hAnsi="Verdana"/>
          <w:color w:val="000000" w:themeColor="text1"/>
          <w:sz w:val="20"/>
          <w:szCs w:val="20"/>
        </w:rPr>
        <w:t xml:space="preserve">, el cual fue </w:t>
      </w:r>
      <w:r w:rsidR="00BC5282" w:rsidRPr="0085358D">
        <w:rPr>
          <w:rFonts w:ascii="Verdana" w:hAnsi="Verdana"/>
          <w:color w:val="000000" w:themeColor="text1"/>
          <w:sz w:val="20"/>
          <w:szCs w:val="20"/>
        </w:rPr>
        <w:t>perfeccionado</w:t>
      </w:r>
      <w:r w:rsidRPr="0085358D">
        <w:rPr>
          <w:rFonts w:ascii="Verdana" w:hAnsi="Verdana"/>
          <w:color w:val="000000" w:themeColor="text1"/>
          <w:sz w:val="20"/>
          <w:szCs w:val="20"/>
        </w:rPr>
        <w:t xml:space="preserve"> el </w:t>
      </w:r>
      <w:proofErr w:type="spellStart"/>
      <w:r w:rsidR="00BC5282" w:rsidRPr="0085358D">
        <w:rPr>
          <w:rFonts w:ascii="Verdana" w:hAnsi="Verdana"/>
          <w:color w:val="000000" w:themeColor="text1"/>
          <w:sz w:val="20"/>
          <w:szCs w:val="20"/>
        </w:rPr>
        <w:t>xx</w:t>
      </w:r>
      <w:proofErr w:type="spellEnd"/>
      <w:r w:rsidRPr="0085358D">
        <w:rPr>
          <w:rFonts w:ascii="Verdana" w:hAnsi="Verdana"/>
          <w:color w:val="000000" w:themeColor="text1"/>
          <w:sz w:val="20"/>
          <w:szCs w:val="20"/>
        </w:rPr>
        <w:t xml:space="preserve"> de </w:t>
      </w:r>
      <w:proofErr w:type="spellStart"/>
      <w:r w:rsidR="007D03C3" w:rsidRPr="0085358D">
        <w:rPr>
          <w:rFonts w:ascii="Verdana" w:hAnsi="Verdana"/>
          <w:color w:val="000000" w:themeColor="text1"/>
          <w:sz w:val="20"/>
          <w:szCs w:val="20"/>
        </w:rPr>
        <w:t>xxxx</w:t>
      </w:r>
      <w:proofErr w:type="spellEnd"/>
      <w:r w:rsidR="007D03C3" w:rsidRPr="0085358D">
        <w:rPr>
          <w:rFonts w:ascii="Verdana" w:hAnsi="Verdana"/>
          <w:color w:val="000000" w:themeColor="text1"/>
          <w:sz w:val="20"/>
          <w:szCs w:val="20"/>
        </w:rPr>
        <w:t xml:space="preserve"> de</w:t>
      </w:r>
      <w:r w:rsidR="00BC5282" w:rsidRPr="0085358D">
        <w:rPr>
          <w:rFonts w:ascii="Verdana" w:hAnsi="Verdana"/>
          <w:color w:val="000000" w:themeColor="text1"/>
          <w:sz w:val="20"/>
          <w:szCs w:val="20"/>
        </w:rPr>
        <w:t xml:space="preserve"> 202x</w:t>
      </w:r>
      <w:r w:rsidRPr="0085358D">
        <w:rPr>
          <w:rFonts w:ascii="Verdana" w:hAnsi="Verdana"/>
          <w:color w:val="000000" w:themeColor="text1"/>
          <w:sz w:val="20"/>
          <w:szCs w:val="20"/>
        </w:rPr>
        <w:t xml:space="preserve">. Se cumplieron los requisitos de legalización el </w:t>
      </w:r>
      <w:r w:rsidR="00BC5282" w:rsidRPr="0085358D">
        <w:rPr>
          <w:rFonts w:ascii="Verdana" w:hAnsi="Verdana"/>
          <w:b/>
          <w:bCs/>
          <w:color w:val="000000" w:themeColor="text1"/>
          <w:sz w:val="20"/>
          <w:szCs w:val="20"/>
        </w:rPr>
        <w:t>XX</w:t>
      </w:r>
      <w:r w:rsidRPr="0085358D">
        <w:rPr>
          <w:rFonts w:ascii="Verdana" w:hAnsi="Verdana"/>
          <w:b/>
          <w:bCs/>
          <w:color w:val="000000" w:themeColor="text1"/>
          <w:sz w:val="20"/>
          <w:szCs w:val="20"/>
        </w:rPr>
        <w:t xml:space="preserve"> DE </w:t>
      </w:r>
      <w:r w:rsidR="00BC5282" w:rsidRPr="0085358D">
        <w:rPr>
          <w:rFonts w:ascii="Verdana" w:hAnsi="Verdana"/>
          <w:b/>
          <w:bCs/>
          <w:color w:val="000000" w:themeColor="text1"/>
          <w:sz w:val="20"/>
          <w:szCs w:val="20"/>
        </w:rPr>
        <w:t>XXXXXX</w:t>
      </w:r>
      <w:r w:rsidRPr="0085358D">
        <w:rPr>
          <w:rFonts w:ascii="Verdana" w:hAnsi="Verdana"/>
          <w:b/>
          <w:bCs/>
          <w:color w:val="000000" w:themeColor="text1"/>
          <w:sz w:val="20"/>
          <w:szCs w:val="20"/>
        </w:rPr>
        <w:t xml:space="preserve"> DE 202</w:t>
      </w:r>
      <w:r w:rsidR="007D03C3" w:rsidRPr="0085358D">
        <w:rPr>
          <w:rFonts w:ascii="Verdana" w:hAnsi="Verdana"/>
          <w:b/>
          <w:bCs/>
          <w:color w:val="000000" w:themeColor="text1"/>
          <w:sz w:val="20"/>
          <w:szCs w:val="20"/>
        </w:rPr>
        <w:t>X</w:t>
      </w:r>
      <w:r w:rsidR="007D03C3" w:rsidRPr="0085358D">
        <w:rPr>
          <w:rFonts w:ascii="Verdana" w:hAnsi="Verdana"/>
          <w:color w:val="000000" w:themeColor="text1"/>
          <w:sz w:val="20"/>
          <w:szCs w:val="20"/>
        </w:rPr>
        <w:t>, por</w:t>
      </w:r>
      <w:r w:rsidRPr="0085358D">
        <w:rPr>
          <w:rFonts w:ascii="Verdana" w:hAnsi="Verdana"/>
          <w:color w:val="000000" w:themeColor="text1"/>
          <w:sz w:val="20"/>
          <w:szCs w:val="20"/>
        </w:rPr>
        <w:t xml:space="preserve"> lo cual ya se encuentra en ejecución. </w:t>
      </w:r>
    </w:p>
    <w:p w14:paraId="08185CAF" w14:textId="77777777" w:rsidR="008A6E55" w:rsidRPr="0085358D" w:rsidRDefault="008A6E55" w:rsidP="008A6E55">
      <w:pPr>
        <w:pStyle w:val="NormalWeb"/>
        <w:spacing w:before="99" w:beforeAutospacing="0" w:after="99" w:afterAutospacing="0"/>
        <w:ind w:firstLine="7425"/>
        <w:jc w:val="both"/>
        <w:rPr>
          <w:rFonts w:ascii="Verdana" w:hAnsi="Verdana"/>
          <w:color w:val="000000" w:themeColor="text1"/>
        </w:rPr>
      </w:pPr>
      <w:r w:rsidRPr="0085358D">
        <w:rPr>
          <w:rFonts w:ascii="Verdana" w:hAnsi="Verdana"/>
          <w:color w:val="000000" w:themeColor="text1"/>
          <w:sz w:val="20"/>
          <w:szCs w:val="20"/>
        </w:rPr>
        <w:t xml:space="preserve"> </w:t>
      </w:r>
    </w:p>
    <w:p w14:paraId="3864D0CE" w14:textId="307F5C72" w:rsidR="008A6E55" w:rsidRPr="007D03C3" w:rsidRDefault="008A6E55" w:rsidP="008A6E55">
      <w:pPr>
        <w:pStyle w:val="NormalWeb"/>
        <w:spacing w:before="99" w:beforeAutospacing="0" w:after="99" w:afterAutospacing="0"/>
        <w:jc w:val="both"/>
        <w:rPr>
          <w:rFonts w:ascii="Verdana" w:hAnsi="Verdana"/>
          <w:color w:val="000000" w:themeColor="text1"/>
        </w:rPr>
      </w:pPr>
      <w:r w:rsidRPr="0085358D">
        <w:rPr>
          <w:rFonts w:ascii="Verdana" w:hAnsi="Verdana"/>
          <w:color w:val="000000" w:themeColor="text1"/>
          <w:sz w:val="20"/>
          <w:szCs w:val="20"/>
        </w:rPr>
        <w:t xml:space="preserve">Los antecedentes de la mencionada </w:t>
      </w:r>
      <w:r w:rsidR="00BC5282" w:rsidRPr="0085358D">
        <w:rPr>
          <w:rFonts w:ascii="Verdana" w:hAnsi="Verdana"/>
          <w:color w:val="000000" w:themeColor="text1"/>
          <w:sz w:val="20"/>
          <w:szCs w:val="20"/>
        </w:rPr>
        <w:t>contratación</w:t>
      </w:r>
      <w:r w:rsidRPr="0085358D">
        <w:rPr>
          <w:rFonts w:ascii="Verdana" w:hAnsi="Verdana"/>
          <w:color w:val="000000" w:themeColor="text1"/>
          <w:sz w:val="20"/>
          <w:szCs w:val="20"/>
        </w:rPr>
        <w:t xml:space="preserve"> reposan en el Grupo de Contratos, es pertinente aclararle que en el software de contratación del Ministerio y en la plataforma transaccional SECOP II, encontrará los documentos necesarios para el trámite de las cuentas. </w:t>
      </w:r>
    </w:p>
    <w:p w14:paraId="0EAB32E0" w14:textId="73A8BEF5" w:rsidR="008A6E55" w:rsidRPr="0085358D" w:rsidRDefault="008A6E55" w:rsidP="008A6E55">
      <w:pPr>
        <w:pStyle w:val="NormalWeb"/>
        <w:spacing w:before="99" w:beforeAutospacing="0" w:after="99" w:afterAutospacing="0"/>
        <w:jc w:val="both"/>
        <w:rPr>
          <w:rFonts w:ascii="Verdana" w:hAnsi="Verdana"/>
          <w:color w:val="000000" w:themeColor="text1"/>
        </w:rPr>
      </w:pPr>
      <w:r w:rsidRPr="0085358D">
        <w:rPr>
          <w:rFonts w:ascii="Verdana" w:hAnsi="Verdana"/>
          <w:color w:val="000000" w:themeColor="text1"/>
          <w:sz w:val="20"/>
          <w:szCs w:val="20"/>
        </w:rPr>
        <w:t xml:space="preserve">Ahora bien, a </w:t>
      </w:r>
      <w:r w:rsidR="007D03C3" w:rsidRPr="0085358D">
        <w:rPr>
          <w:rFonts w:ascii="Verdana" w:hAnsi="Verdana"/>
          <w:color w:val="000000" w:themeColor="text1"/>
          <w:sz w:val="20"/>
          <w:szCs w:val="20"/>
        </w:rPr>
        <w:t>continuación,</w:t>
      </w:r>
      <w:r w:rsidRPr="0085358D">
        <w:rPr>
          <w:rFonts w:ascii="Verdana" w:hAnsi="Verdana"/>
          <w:color w:val="000000" w:themeColor="text1"/>
          <w:sz w:val="20"/>
          <w:szCs w:val="20"/>
        </w:rPr>
        <w:t xml:space="preserve"> encontrarán algunas recomendaciones importantes que deberán ser tenidas en cuenta en desarrollo de sus actividades como Supervisor</w:t>
      </w:r>
      <w:r w:rsidR="00454D9B" w:rsidRPr="0085358D">
        <w:rPr>
          <w:rFonts w:ascii="Verdana" w:hAnsi="Verdana"/>
          <w:color w:val="000000" w:themeColor="text1"/>
          <w:sz w:val="20"/>
          <w:szCs w:val="20"/>
        </w:rPr>
        <w:t xml:space="preserve"> de los contratos o convenios suscritos por el Ministerio de Comercio, Industria y Turismo</w:t>
      </w:r>
      <w:r w:rsidRPr="0085358D">
        <w:rPr>
          <w:rFonts w:ascii="Verdana" w:hAnsi="Verdana"/>
          <w:color w:val="000000" w:themeColor="text1"/>
          <w:sz w:val="20"/>
          <w:szCs w:val="20"/>
        </w:rPr>
        <w:t xml:space="preserve">: </w:t>
      </w:r>
    </w:p>
    <w:p w14:paraId="58CB6C27" w14:textId="77777777" w:rsidR="008A6E55" w:rsidRPr="0085358D" w:rsidRDefault="008A6E55" w:rsidP="008A6E55">
      <w:pPr>
        <w:pStyle w:val="NormalWeb"/>
        <w:spacing w:before="99" w:beforeAutospacing="0" w:after="99" w:afterAutospacing="0"/>
        <w:ind w:firstLine="7425"/>
        <w:jc w:val="both"/>
        <w:rPr>
          <w:rFonts w:ascii="Verdana" w:hAnsi="Verdana"/>
          <w:color w:val="000000" w:themeColor="text1"/>
        </w:rPr>
      </w:pPr>
      <w:r w:rsidRPr="0085358D">
        <w:rPr>
          <w:rFonts w:ascii="Verdana" w:hAnsi="Verdana"/>
          <w:color w:val="000000" w:themeColor="text1"/>
          <w:sz w:val="20"/>
          <w:szCs w:val="20"/>
        </w:rPr>
        <w:t> </w:t>
      </w:r>
    </w:p>
    <w:p w14:paraId="0F00F787" w14:textId="08ED40DA" w:rsidR="008A6E55" w:rsidRPr="0085358D" w:rsidRDefault="008A6E55" w:rsidP="00133B57">
      <w:pPr>
        <w:pStyle w:val="NormalWeb"/>
        <w:numPr>
          <w:ilvl w:val="0"/>
          <w:numId w:val="3"/>
        </w:numPr>
        <w:tabs>
          <w:tab w:val="clear" w:pos="720"/>
          <w:tab w:val="num" w:pos="851"/>
        </w:tabs>
        <w:spacing w:before="99" w:beforeAutospacing="0" w:after="99" w:afterAutospacing="0"/>
        <w:ind w:left="851"/>
        <w:jc w:val="both"/>
        <w:rPr>
          <w:rFonts w:ascii="Verdana" w:hAnsi="Verdana"/>
          <w:i/>
          <w:color w:val="000000" w:themeColor="text1"/>
          <w:sz w:val="27"/>
          <w:szCs w:val="27"/>
        </w:rPr>
      </w:pPr>
      <w:r w:rsidRPr="0085358D">
        <w:rPr>
          <w:rFonts w:ascii="Verdana" w:hAnsi="Verdana"/>
          <w:color w:val="000000" w:themeColor="text1"/>
          <w:sz w:val="20"/>
          <w:szCs w:val="20"/>
        </w:rPr>
        <w:t xml:space="preserve">Para la elaboración y presentación de informes de Supervisión, es importante que tenga en cuenta </w:t>
      </w:r>
      <w:r w:rsidR="00805DF7" w:rsidRPr="0085358D">
        <w:rPr>
          <w:rFonts w:ascii="Verdana" w:hAnsi="Verdana"/>
          <w:color w:val="000000" w:themeColor="text1"/>
          <w:sz w:val="20"/>
          <w:szCs w:val="20"/>
        </w:rPr>
        <w:t xml:space="preserve">lo dispuesto en el artículo </w:t>
      </w:r>
      <w:r w:rsidR="00F0779B" w:rsidRPr="0085358D">
        <w:rPr>
          <w:rFonts w:ascii="Verdana" w:hAnsi="Verdana"/>
          <w:color w:val="000000" w:themeColor="text1"/>
          <w:sz w:val="20"/>
          <w:szCs w:val="20"/>
        </w:rPr>
        <w:t>31</w:t>
      </w:r>
      <w:r w:rsidR="00805DF7" w:rsidRPr="0085358D">
        <w:rPr>
          <w:rFonts w:ascii="Verdana" w:hAnsi="Verdana"/>
          <w:color w:val="000000" w:themeColor="text1"/>
          <w:sz w:val="20"/>
          <w:szCs w:val="20"/>
        </w:rPr>
        <w:t xml:space="preserve"> “Informes de Supervisión e interventoría del Manual de contratación</w:t>
      </w:r>
      <w:r w:rsidRPr="0085358D">
        <w:rPr>
          <w:rFonts w:ascii="Verdana" w:hAnsi="Verdana"/>
          <w:color w:val="000000" w:themeColor="text1"/>
          <w:sz w:val="20"/>
          <w:szCs w:val="20"/>
        </w:rPr>
        <w:t xml:space="preserve"> del Ministerio de Comercio Industria y Turismo</w:t>
      </w:r>
      <w:r w:rsidR="00805DF7" w:rsidRPr="0085358D">
        <w:rPr>
          <w:rFonts w:ascii="Verdana" w:hAnsi="Verdana"/>
          <w:color w:val="000000" w:themeColor="text1"/>
          <w:sz w:val="20"/>
          <w:szCs w:val="20"/>
        </w:rPr>
        <w:t xml:space="preserve"> vigente.</w:t>
      </w:r>
    </w:p>
    <w:p w14:paraId="3324A3FA" w14:textId="77777777" w:rsidR="008A6E55" w:rsidRPr="0085358D" w:rsidRDefault="008A6E55" w:rsidP="00133B57">
      <w:pPr>
        <w:pStyle w:val="NormalWeb"/>
        <w:tabs>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rPr>
        <w:t> </w:t>
      </w:r>
    </w:p>
    <w:p w14:paraId="1FB36E90" w14:textId="766C8138" w:rsidR="00B04299" w:rsidRPr="007D03C3" w:rsidRDefault="008A6E55" w:rsidP="007D03C3">
      <w:pPr>
        <w:pStyle w:val="NormalWeb"/>
        <w:numPr>
          <w:ilvl w:val="0"/>
          <w:numId w:val="3"/>
        </w:numPr>
        <w:tabs>
          <w:tab w:val="clear" w:pos="720"/>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rPr>
        <w:t xml:space="preserve">Cada uno de los pagos que se generen durante el plazo de ejecución del contrato, deberá gestionarse a través de la plataforma transaccional SECOP II en el ítem correspondiente a plan de pagos, a la cual podrá ingresar a través de </w:t>
      </w:r>
      <w:hyperlink r:id="rId11" w:history="1">
        <w:r w:rsidRPr="0085358D">
          <w:rPr>
            <w:rStyle w:val="Hyperlink"/>
            <w:rFonts w:ascii="Verdana" w:hAnsi="Verdana"/>
            <w:color w:val="000000" w:themeColor="text1"/>
            <w:sz w:val="20"/>
            <w:szCs w:val="20"/>
          </w:rPr>
          <w:t>www.colombiacompra.gov.co</w:t>
        </w:r>
      </w:hyperlink>
      <w:r w:rsidRPr="0085358D">
        <w:rPr>
          <w:rFonts w:ascii="Verdana" w:hAnsi="Verdana"/>
          <w:color w:val="000000" w:themeColor="text1"/>
          <w:sz w:val="20"/>
          <w:szCs w:val="20"/>
        </w:rPr>
        <w:t xml:space="preserve">. Así como los demás aspectos relacionados con la ejecución contractual, de conformidad con la guía para </w:t>
      </w:r>
      <w:r w:rsidR="007D03C3" w:rsidRPr="0085358D">
        <w:rPr>
          <w:rFonts w:ascii="Verdana" w:hAnsi="Verdana"/>
          <w:color w:val="000000" w:themeColor="text1"/>
          <w:sz w:val="20"/>
          <w:szCs w:val="20"/>
        </w:rPr>
        <w:t>la gestión</w:t>
      </w:r>
      <w:r w:rsidRPr="0085358D">
        <w:rPr>
          <w:rFonts w:ascii="Verdana" w:hAnsi="Verdana"/>
          <w:color w:val="000000" w:themeColor="text1"/>
          <w:sz w:val="20"/>
          <w:szCs w:val="20"/>
        </w:rPr>
        <w:t xml:space="preserve"> contractual y los tutoriales de Colombia Compra Eficiente.</w:t>
      </w:r>
      <w:r w:rsidRPr="007D03C3">
        <w:rPr>
          <w:rFonts w:ascii="Verdana" w:hAnsi="Verdana"/>
          <w:color w:val="000000" w:themeColor="text1"/>
          <w:sz w:val="20"/>
          <w:szCs w:val="20"/>
        </w:rPr>
        <w:t xml:space="preserve"> </w:t>
      </w:r>
      <w:hyperlink r:id="rId12" w:history="1">
        <w:r w:rsidRPr="007D03C3">
          <w:rPr>
            <w:rStyle w:val="Hyperlink"/>
            <w:rFonts w:ascii="Verdana" w:hAnsi="Verdana"/>
            <w:color w:val="000000" w:themeColor="text1"/>
            <w:sz w:val="20"/>
            <w:szCs w:val="20"/>
          </w:rPr>
          <w:t>https://www.colombiacompra.gov.co/secopii/3235/22987/Seguimiento%20a%20la%20ejecución%20contractual</w:t>
        </w:r>
      </w:hyperlink>
      <w:r w:rsidRPr="007D03C3">
        <w:rPr>
          <w:rFonts w:ascii="Verdana" w:hAnsi="Verdana"/>
          <w:color w:val="000000" w:themeColor="text1"/>
          <w:sz w:val="20"/>
          <w:szCs w:val="20"/>
        </w:rPr>
        <w:t xml:space="preserve">. </w:t>
      </w:r>
    </w:p>
    <w:p w14:paraId="41A53B64" w14:textId="77777777" w:rsidR="00B04299" w:rsidRPr="0085358D" w:rsidRDefault="00B04299" w:rsidP="00B04299">
      <w:pPr>
        <w:pStyle w:val="ListParagraph"/>
        <w:rPr>
          <w:rFonts w:ascii="Verdana" w:hAnsi="Verdana"/>
          <w:color w:val="000000" w:themeColor="text1"/>
        </w:rPr>
      </w:pPr>
    </w:p>
    <w:p w14:paraId="7AE44431" w14:textId="77777777" w:rsidR="00454D9B" w:rsidRPr="0085358D" w:rsidRDefault="00B04299" w:rsidP="00B04299">
      <w:pPr>
        <w:pStyle w:val="ListParagraph"/>
        <w:ind w:left="851"/>
        <w:jc w:val="both"/>
        <w:rPr>
          <w:rFonts w:ascii="Verdana" w:eastAsia="Times New Roman" w:hAnsi="Verdana" w:cs="Times New Roman"/>
          <w:color w:val="000000" w:themeColor="text1"/>
          <w:sz w:val="20"/>
          <w:szCs w:val="20"/>
          <w:lang w:eastAsia="es-CO"/>
        </w:rPr>
      </w:pPr>
      <w:r w:rsidRPr="0085358D">
        <w:rPr>
          <w:rFonts w:ascii="Verdana" w:eastAsia="Times New Roman" w:hAnsi="Verdana" w:cs="Times New Roman"/>
          <w:color w:val="000000" w:themeColor="text1"/>
          <w:sz w:val="20"/>
          <w:szCs w:val="20"/>
          <w:lang w:eastAsia="es-CO"/>
        </w:rPr>
        <w:t xml:space="preserve">De igual forma, el supervisor contractual debe garantizar la publicación de los documentos de ejecución del contrato en la plataforma electrónica SECOP II que permitan evidenciar el seguimiento y vigilancia al cumplimiento de las obligaciones contractuales. </w:t>
      </w:r>
    </w:p>
    <w:p w14:paraId="2218F5FA" w14:textId="4C721A45" w:rsidR="00133B57" w:rsidRPr="0085358D" w:rsidRDefault="00133B57" w:rsidP="00133B57">
      <w:pPr>
        <w:pStyle w:val="NormalWeb"/>
        <w:tabs>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rPr>
        <w:t xml:space="preserve">Lo anterior, sin perjuicio de adelantar los trámites respectivos en la plataforma interna de contratos.     </w:t>
      </w:r>
    </w:p>
    <w:p w14:paraId="32A13A22" w14:textId="77777777" w:rsidR="008A6E55" w:rsidRPr="0085358D" w:rsidRDefault="008A6E55" w:rsidP="00133B57">
      <w:pPr>
        <w:pStyle w:val="NormalWeb"/>
        <w:tabs>
          <w:tab w:val="num" w:pos="851"/>
        </w:tabs>
        <w:spacing w:before="99" w:beforeAutospacing="0" w:after="99" w:afterAutospacing="0"/>
        <w:ind w:left="851"/>
        <w:jc w:val="both"/>
        <w:rPr>
          <w:rFonts w:ascii="Verdana" w:hAnsi="Verdana"/>
          <w:color w:val="000000" w:themeColor="text1"/>
          <w:sz w:val="20"/>
          <w:szCs w:val="20"/>
        </w:rPr>
      </w:pPr>
    </w:p>
    <w:p w14:paraId="6E3FFAAC" w14:textId="68F4199F" w:rsidR="008A6E55" w:rsidRPr="0085358D" w:rsidRDefault="008A6E55" w:rsidP="00133B57">
      <w:pPr>
        <w:pStyle w:val="NormalWeb"/>
        <w:tabs>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u w:val="single"/>
        </w:rPr>
        <w:t xml:space="preserve">Así mismo, Previo a la realización del trámite </w:t>
      </w:r>
      <w:r w:rsidR="007D03C3" w:rsidRPr="0085358D">
        <w:rPr>
          <w:rFonts w:ascii="Verdana" w:hAnsi="Verdana"/>
          <w:color w:val="000000" w:themeColor="text1"/>
          <w:sz w:val="20"/>
          <w:szCs w:val="20"/>
          <w:u w:val="single"/>
        </w:rPr>
        <w:t>de cada</w:t>
      </w:r>
      <w:r w:rsidRPr="0085358D">
        <w:rPr>
          <w:rFonts w:ascii="Verdana" w:hAnsi="Verdana"/>
          <w:color w:val="000000" w:themeColor="text1"/>
          <w:sz w:val="20"/>
          <w:szCs w:val="20"/>
          <w:u w:val="single"/>
        </w:rPr>
        <w:t xml:space="preserve"> pago al contratista, el supervisor deberá verificar y consultar que la persona natural o jurídica con quien se suscribe el contrato estatal, no se encuentre incursa en causal de incompatibilidad o inhabilidad prevista en la Constitución Política o en la ley, adjuntando los correspondientes soportes de las consultas realizadas ante la Procuraduría General de la Nación, Contraloría General de la Republica y Policía Nacional de Colombia. Estas consultas también deberán ser publicadas en la plataforma electrónica del SECOP II y/o plataforma interna de contratos de la entidad, como documento soporte al pago. </w:t>
      </w:r>
    </w:p>
    <w:p w14:paraId="27808DE6" w14:textId="77777777" w:rsidR="008A6E55" w:rsidRPr="0085358D" w:rsidRDefault="008A6E55" w:rsidP="00133B57">
      <w:pPr>
        <w:pStyle w:val="NormalWeb"/>
        <w:tabs>
          <w:tab w:val="num" w:pos="851"/>
        </w:tabs>
        <w:spacing w:before="99" w:beforeAutospacing="0" w:after="99" w:afterAutospacing="0"/>
        <w:ind w:left="851"/>
        <w:rPr>
          <w:rFonts w:ascii="Verdana" w:hAnsi="Verdana"/>
          <w:color w:val="000000" w:themeColor="text1"/>
          <w:sz w:val="27"/>
          <w:szCs w:val="27"/>
        </w:rPr>
      </w:pPr>
      <w:r w:rsidRPr="0085358D">
        <w:rPr>
          <w:rFonts w:ascii="Verdana" w:hAnsi="Verdana"/>
          <w:color w:val="000000" w:themeColor="text1"/>
          <w:sz w:val="20"/>
          <w:szCs w:val="20"/>
        </w:rPr>
        <w:t>  </w:t>
      </w:r>
    </w:p>
    <w:p w14:paraId="09D07C50" w14:textId="0B8E81B5" w:rsidR="00B04299" w:rsidRPr="0085358D" w:rsidRDefault="00B04299" w:rsidP="00B04299">
      <w:pPr>
        <w:pStyle w:val="NormalWeb"/>
        <w:numPr>
          <w:ilvl w:val="0"/>
          <w:numId w:val="3"/>
        </w:numPr>
        <w:tabs>
          <w:tab w:val="clear" w:pos="720"/>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rPr>
        <w:t xml:space="preserve">En caso de requerirse la modificación de la persona designada como supervisor, el jefe de la Dependencia solicitante de la </w:t>
      </w:r>
      <w:r w:rsidR="007D03C3" w:rsidRPr="0085358D">
        <w:rPr>
          <w:rFonts w:ascii="Verdana" w:hAnsi="Verdana"/>
          <w:color w:val="000000" w:themeColor="text1"/>
          <w:sz w:val="20"/>
          <w:szCs w:val="20"/>
        </w:rPr>
        <w:t>Contratación</w:t>
      </w:r>
      <w:r w:rsidRPr="0085358D">
        <w:rPr>
          <w:rFonts w:ascii="Verdana" w:hAnsi="Verdana"/>
          <w:color w:val="000000" w:themeColor="text1"/>
          <w:sz w:val="20"/>
          <w:szCs w:val="20"/>
        </w:rPr>
        <w:t xml:space="preserve"> remitirá al ordenador del gasto una comunicación en la que sugiera el cargo del funcionario que podría asumir la supervisión del contrato, para que efectúe la correspondiente designación actualizando los datos del supervisor en el </w:t>
      </w:r>
      <w:proofErr w:type="gramStart"/>
      <w:r w:rsidRPr="0085358D">
        <w:rPr>
          <w:rFonts w:ascii="Verdana" w:hAnsi="Verdana"/>
          <w:color w:val="000000" w:themeColor="text1"/>
          <w:sz w:val="20"/>
          <w:szCs w:val="20"/>
        </w:rPr>
        <w:t>aplicativo</w:t>
      </w:r>
      <w:r w:rsidRPr="0085358D">
        <w:rPr>
          <w:rFonts w:ascii="Verdana" w:hAnsi="Verdana" w:cs="Calibri"/>
          <w:i/>
          <w:iCs/>
          <w:color w:val="000000" w:themeColor="text1"/>
          <w:sz w:val="20"/>
          <w:szCs w:val="20"/>
          <w:lang w:val="es-ES"/>
        </w:rPr>
        <w:t xml:space="preserve"> </w:t>
      </w:r>
      <w:r w:rsidRPr="0085358D">
        <w:rPr>
          <w:rFonts w:ascii="Verdana" w:hAnsi="Verdana"/>
          <w:color w:val="000000" w:themeColor="text1"/>
          <w:sz w:val="20"/>
          <w:szCs w:val="20"/>
        </w:rPr>
        <w:t>in</w:t>
      </w:r>
      <w:proofErr w:type="gramEnd"/>
      <w:r w:rsidRPr="0085358D">
        <w:rPr>
          <w:rFonts w:ascii="Verdana" w:hAnsi="Verdana"/>
          <w:color w:val="000000" w:themeColor="text1"/>
          <w:sz w:val="20"/>
          <w:szCs w:val="20"/>
        </w:rPr>
        <w:t xml:space="preserve"> </w:t>
      </w:r>
      <w:proofErr w:type="spellStart"/>
      <w:r w:rsidRPr="0085358D">
        <w:rPr>
          <w:rFonts w:ascii="Verdana" w:hAnsi="Verdana"/>
          <w:color w:val="000000" w:themeColor="text1"/>
          <w:sz w:val="20"/>
          <w:szCs w:val="20"/>
        </w:rPr>
        <w:t>house</w:t>
      </w:r>
      <w:proofErr w:type="spellEnd"/>
      <w:r w:rsidRPr="0085358D">
        <w:rPr>
          <w:rFonts w:ascii="Verdana" w:hAnsi="Verdana"/>
          <w:color w:val="000000" w:themeColor="text1"/>
          <w:sz w:val="20"/>
          <w:szCs w:val="20"/>
        </w:rPr>
        <w:t xml:space="preserve"> denominado Athenea – </w:t>
      </w:r>
      <w:r w:rsidR="003B2C92" w:rsidRPr="0085358D">
        <w:rPr>
          <w:rFonts w:ascii="Verdana" w:hAnsi="Verdana"/>
          <w:color w:val="000000" w:themeColor="text1"/>
          <w:sz w:val="20"/>
          <w:szCs w:val="20"/>
        </w:rPr>
        <w:t>Gestión</w:t>
      </w:r>
      <w:r w:rsidRPr="0085358D">
        <w:rPr>
          <w:rFonts w:ascii="Verdana" w:hAnsi="Verdana"/>
          <w:color w:val="000000" w:themeColor="text1"/>
          <w:sz w:val="20"/>
          <w:szCs w:val="20"/>
        </w:rPr>
        <w:t xml:space="preserve"> Contratos del MINCIT y SECOP II.</w:t>
      </w:r>
    </w:p>
    <w:p w14:paraId="1E3DAEAE" w14:textId="77777777" w:rsidR="00B04299" w:rsidRPr="0085358D" w:rsidRDefault="008A6E55" w:rsidP="00B04299">
      <w:pPr>
        <w:pStyle w:val="NormalWeb"/>
        <w:numPr>
          <w:ilvl w:val="0"/>
          <w:numId w:val="3"/>
        </w:numPr>
        <w:tabs>
          <w:tab w:val="clear" w:pos="720"/>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rPr>
        <w:t>Una vez vencidos los términos de las garantías establecidas en el contrato, deberá informarlo al Grupo de Contratos, con el fin de que se lleve a cabo la “CONSTANCIA DE CIERRE DE</w:t>
      </w:r>
      <w:r w:rsidR="00133B57" w:rsidRPr="0085358D">
        <w:rPr>
          <w:rFonts w:ascii="Verdana" w:hAnsi="Verdana"/>
          <w:color w:val="000000" w:themeColor="text1"/>
          <w:sz w:val="20"/>
          <w:szCs w:val="20"/>
        </w:rPr>
        <w:t>L</w:t>
      </w:r>
      <w:r w:rsidRPr="0085358D">
        <w:rPr>
          <w:rFonts w:ascii="Verdana" w:hAnsi="Verdana"/>
          <w:color w:val="000000" w:themeColor="text1"/>
          <w:sz w:val="20"/>
          <w:szCs w:val="20"/>
        </w:rPr>
        <w:t xml:space="preserve"> EXPEDIENTE” de conformidad con lo establecido en el artículo 2.2.1.1.2.4.3., del Decreto 1082 de 2015. L</w:t>
      </w:r>
      <w:r w:rsidR="00B04299" w:rsidRPr="0085358D">
        <w:rPr>
          <w:rFonts w:ascii="Verdana" w:hAnsi="Verdana"/>
          <w:color w:val="000000" w:themeColor="text1"/>
          <w:sz w:val="20"/>
          <w:szCs w:val="20"/>
        </w:rPr>
        <w:t>o anterior en caso que aplique.</w:t>
      </w:r>
    </w:p>
    <w:p w14:paraId="3F6303BB" w14:textId="3D7E5A71" w:rsidR="00B04299" w:rsidRPr="0085358D" w:rsidRDefault="00B04299" w:rsidP="00B04299">
      <w:pPr>
        <w:pStyle w:val="NormalWeb"/>
        <w:numPr>
          <w:ilvl w:val="0"/>
          <w:numId w:val="3"/>
        </w:numPr>
        <w:tabs>
          <w:tab w:val="clear" w:pos="720"/>
          <w:tab w:val="num" w:pos="851"/>
        </w:tabs>
        <w:spacing w:before="99" w:beforeAutospacing="0" w:after="99" w:afterAutospacing="0"/>
        <w:ind w:left="851"/>
        <w:jc w:val="both"/>
        <w:rPr>
          <w:rFonts w:ascii="Verdana" w:hAnsi="Verdana"/>
          <w:color w:val="000000" w:themeColor="text1"/>
          <w:sz w:val="27"/>
          <w:szCs w:val="27"/>
        </w:rPr>
      </w:pPr>
      <w:r w:rsidRPr="0085358D">
        <w:rPr>
          <w:rFonts w:ascii="Verdana" w:hAnsi="Verdana"/>
          <w:color w:val="000000" w:themeColor="text1"/>
          <w:sz w:val="20"/>
          <w:szCs w:val="20"/>
        </w:rPr>
        <w:t>La evaluación del proveedor conforme al procedimiento de interventoría o supervisión CÓDIGO: BS-PR-004 es documento soporte del último infor</w:t>
      </w:r>
      <w:r w:rsidR="003B2C92" w:rsidRPr="0085358D">
        <w:rPr>
          <w:rFonts w:ascii="Verdana" w:hAnsi="Verdana"/>
          <w:color w:val="000000" w:themeColor="text1"/>
          <w:sz w:val="20"/>
          <w:szCs w:val="20"/>
        </w:rPr>
        <w:t>me de supervisión, por lo cual é</w:t>
      </w:r>
      <w:r w:rsidRPr="0085358D">
        <w:rPr>
          <w:rFonts w:ascii="Verdana" w:hAnsi="Verdana"/>
          <w:color w:val="000000" w:themeColor="text1"/>
          <w:sz w:val="20"/>
          <w:szCs w:val="20"/>
        </w:rPr>
        <w:t>ste también debe ser cargado y publicado en los documentos de ejecución del contrato en SECOP II, siguiendo el formato BS-FM-052.</w:t>
      </w:r>
    </w:p>
    <w:p w14:paraId="5492F174" w14:textId="30C56E2C" w:rsidR="006B641B" w:rsidRPr="0085358D" w:rsidRDefault="00454D9B" w:rsidP="006B641B">
      <w:pPr>
        <w:pStyle w:val="NormalWeb"/>
        <w:numPr>
          <w:ilvl w:val="0"/>
          <w:numId w:val="3"/>
        </w:numPr>
        <w:tabs>
          <w:tab w:val="clear" w:pos="720"/>
          <w:tab w:val="num" w:pos="851"/>
        </w:tabs>
        <w:spacing w:before="99" w:beforeAutospacing="0" w:after="99" w:afterAutospacing="0"/>
        <w:ind w:left="851"/>
        <w:jc w:val="both"/>
        <w:rPr>
          <w:rFonts w:ascii="Verdana" w:hAnsi="Verdana"/>
          <w:color w:val="000000" w:themeColor="text1"/>
          <w:sz w:val="20"/>
          <w:szCs w:val="20"/>
        </w:rPr>
      </w:pPr>
      <w:r w:rsidRPr="0085358D">
        <w:rPr>
          <w:rFonts w:ascii="Verdana" w:hAnsi="Verdana"/>
          <w:color w:val="000000" w:themeColor="text1"/>
          <w:sz w:val="20"/>
          <w:szCs w:val="20"/>
        </w:rPr>
        <w:t xml:space="preserve">Conforme lo establecido en el estudio previo que soporta la contratación y el numeral 1 </w:t>
      </w:r>
      <w:r w:rsidRPr="0085358D">
        <w:rPr>
          <w:rFonts w:ascii="Verdana" w:hAnsi="Verdana"/>
          <w:i/>
          <w:color w:val="000000" w:themeColor="text1"/>
          <w:sz w:val="20"/>
          <w:szCs w:val="20"/>
        </w:rPr>
        <w:t>“Información General”</w:t>
      </w:r>
      <w:r w:rsidRPr="0085358D">
        <w:rPr>
          <w:rFonts w:ascii="Verdana" w:hAnsi="Verdana"/>
          <w:color w:val="000000" w:themeColor="text1"/>
          <w:sz w:val="20"/>
          <w:szCs w:val="20"/>
        </w:rPr>
        <w:t xml:space="preserve"> del contrato electrónico en SECOP II, procede la liquidación del contrato (indicar si procede o no la liquidación del contrato), la cual deberá efectuarse de mutuo acuerdo a más tardar el </w:t>
      </w:r>
      <w:r w:rsidRPr="0085358D">
        <w:rPr>
          <w:rFonts w:ascii="Verdana" w:hAnsi="Verdana"/>
          <w:b/>
          <w:bCs/>
          <w:color w:val="000000" w:themeColor="text1"/>
          <w:sz w:val="20"/>
          <w:szCs w:val="20"/>
        </w:rPr>
        <w:t xml:space="preserve">XX DE XXXXXX DE 202X, </w:t>
      </w:r>
      <w:r w:rsidRPr="0085358D">
        <w:rPr>
          <w:rFonts w:ascii="Verdana" w:hAnsi="Verdana"/>
          <w:bCs/>
          <w:color w:val="000000" w:themeColor="text1"/>
          <w:sz w:val="20"/>
          <w:szCs w:val="20"/>
        </w:rPr>
        <w:t xml:space="preserve">por lo que es necesario que a través de memorando dirigido a  la </w:t>
      </w:r>
      <w:r w:rsidR="003B2C92" w:rsidRPr="0085358D">
        <w:rPr>
          <w:rFonts w:ascii="Verdana" w:hAnsi="Verdana"/>
          <w:bCs/>
          <w:color w:val="000000" w:themeColor="text1"/>
          <w:sz w:val="20"/>
          <w:szCs w:val="20"/>
        </w:rPr>
        <w:t>coordinación</w:t>
      </w:r>
      <w:r w:rsidRPr="0085358D">
        <w:rPr>
          <w:rFonts w:ascii="Verdana" w:hAnsi="Verdana"/>
          <w:bCs/>
          <w:color w:val="000000" w:themeColor="text1"/>
          <w:sz w:val="20"/>
          <w:szCs w:val="20"/>
        </w:rPr>
        <w:t xml:space="preserve"> del grupo Contratos se radique el acta de liquidación junto con los soportes, para la correspondiente revisión a más tardar con antelación de 20 días hábiles a la fecha indicada para la liquidación convencional. </w:t>
      </w:r>
    </w:p>
    <w:p w14:paraId="2445C4C9" w14:textId="77777777" w:rsidR="00B04299" w:rsidRPr="0085358D" w:rsidRDefault="00B04299" w:rsidP="008A6E55">
      <w:pPr>
        <w:pStyle w:val="NormalWeb"/>
        <w:spacing w:before="99" w:beforeAutospacing="0" w:after="99" w:afterAutospacing="0"/>
        <w:jc w:val="both"/>
        <w:rPr>
          <w:rFonts w:ascii="Verdana" w:hAnsi="Verdana"/>
          <w:color w:val="000000" w:themeColor="text1"/>
          <w:sz w:val="20"/>
          <w:szCs w:val="20"/>
        </w:rPr>
      </w:pPr>
    </w:p>
    <w:p w14:paraId="239B1E1A" w14:textId="543C51EA" w:rsidR="008A6E55" w:rsidRPr="0085358D" w:rsidRDefault="00712A3A" w:rsidP="008A6E55">
      <w:pPr>
        <w:pStyle w:val="NormalWeb"/>
        <w:spacing w:before="99" w:beforeAutospacing="0" w:after="99" w:afterAutospacing="0"/>
        <w:jc w:val="both"/>
        <w:rPr>
          <w:rFonts w:ascii="Verdana" w:hAnsi="Verdana"/>
          <w:color w:val="000000" w:themeColor="text1"/>
          <w:sz w:val="27"/>
          <w:szCs w:val="27"/>
        </w:rPr>
      </w:pPr>
      <w:r w:rsidRPr="0085358D">
        <w:rPr>
          <w:rFonts w:ascii="Verdana" w:hAnsi="Verdana"/>
          <w:color w:val="000000" w:themeColor="text1"/>
          <w:sz w:val="20"/>
          <w:szCs w:val="20"/>
        </w:rPr>
        <w:t>P</w:t>
      </w:r>
      <w:r w:rsidR="008A6E55" w:rsidRPr="0085358D">
        <w:rPr>
          <w:rFonts w:ascii="Verdana" w:hAnsi="Verdana"/>
          <w:color w:val="000000" w:themeColor="text1"/>
          <w:sz w:val="20"/>
          <w:szCs w:val="20"/>
        </w:rPr>
        <w:t>or último, es importante que tenga en cuenta que el no cumplimiento de las obligaciones como supe</w:t>
      </w:r>
      <w:r w:rsidR="003B2C92" w:rsidRPr="0085358D">
        <w:rPr>
          <w:rFonts w:ascii="Verdana" w:hAnsi="Verdana"/>
          <w:color w:val="000000" w:themeColor="text1"/>
          <w:sz w:val="20"/>
          <w:szCs w:val="20"/>
        </w:rPr>
        <w:t xml:space="preserve">rvisor de un contrato, podrá acarrear </w:t>
      </w:r>
      <w:r w:rsidR="008A6E55" w:rsidRPr="0085358D">
        <w:rPr>
          <w:rFonts w:ascii="Verdana" w:hAnsi="Verdana"/>
          <w:color w:val="000000" w:themeColor="text1"/>
          <w:sz w:val="20"/>
          <w:szCs w:val="20"/>
        </w:rPr>
        <w:t>sanciones disciplinarias establecidas en la Ley 1952 de 2019 o la que haga sus veces.</w:t>
      </w:r>
    </w:p>
    <w:p w14:paraId="10DE7F13" w14:textId="77777777" w:rsidR="00E17EE2" w:rsidRPr="0085358D" w:rsidRDefault="00E17EE2" w:rsidP="008A6E55">
      <w:pPr>
        <w:rPr>
          <w:rFonts w:ascii="Verdana" w:hAnsi="Verdana"/>
          <w:color w:val="000000" w:themeColor="text1"/>
        </w:rPr>
      </w:pPr>
    </w:p>
    <w:p w14:paraId="25272FED" w14:textId="3535D195" w:rsidR="00712A3A" w:rsidRPr="0085358D" w:rsidRDefault="00712A3A" w:rsidP="00712A3A">
      <w:pPr>
        <w:jc w:val="both"/>
        <w:rPr>
          <w:rFonts w:ascii="Verdana" w:hAnsi="Verdana"/>
          <w:color w:val="000000" w:themeColor="text1"/>
        </w:rPr>
      </w:pPr>
      <w:r w:rsidRPr="0085358D">
        <w:rPr>
          <w:rFonts w:ascii="Verdana" w:hAnsi="Verdana"/>
          <w:color w:val="000000" w:themeColor="text1"/>
        </w:rPr>
        <w:t xml:space="preserve">Se anexa copia del contrato electrónico descargado de SECOP II, así mismo las evidencias del cumplimiento de los requisitos de ejecución se encuentra publicados en el </w:t>
      </w:r>
      <w:proofErr w:type="gramStart"/>
      <w:r w:rsidRPr="0085358D">
        <w:rPr>
          <w:rFonts w:ascii="Verdana" w:hAnsi="Verdana"/>
          <w:color w:val="000000" w:themeColor="text1"/>
        </w:rPr>
        <w:t>link</w:t>
      </w:r>
      <w:proofErr w:type="gramEnd"/>
      <w:r w:rsidRPr="0085358D">
        <w:rPr>
          <w:rFonts w:ascii="Verdana" w:hAnsi="Verdana"/>
          <w:color w:val="000000" w:themeColor="text1"/>
        </w:rPr>
        <w:t xml:space="preserve"> del contrato electrónico en SECOP II, para su consulta. </w:t>
      </w:r>
    </w:p>
    <w:p w14:paraId="08672864" w14:textId="5350996F" w:rsidR="00712A3A" w:rsidRPr="0085358D" w:rsidRDefault="00712A3A" w:rsidP="00900757">
      <w:pPr>
        <w:jc w:val="both"/>
        <w:rPr>
          <w:rFonts w:ascii="Verdana" w:hAnsi="Verdana"/>
          <w:color w:val="000000" w:themeColor="text1"/>
        </w:rPr>
      </w:pPr>
      <w:r w:rsidRPr="0085358D">
        <w:rPr>
          <w:rFonts w:ascii="Verdana" w:hAnsi="Verdana"/>
          <w:b/>
          <w:bCs/>
          <w:color w:val="000000" w:themeColor="text1"/>
        </w:rPr>
        <w:lastRenderedPageBreak/>
        <w:t>Nota:</w:t>
      </w:r>
      <w:r w:rsidRPr="0085358D">
        <w:rPr>
          <w:rFonts w:ascii="Verdana" w:hAnsi="Verdana"/>
          <w:color w:val="000000" w:themeColor="text1"/>
        </w:rPr>
        <w:t xml:space="preserve"> Copia de este memorando debe ir a: Auxiliares y técnicos administrativos del Grupo Contratos. </w:t>
      </w:r>
    </w:p>
    <w:sectPr w:rsidR="00712A3A" w:rsidRPr="0085358D" w:rsidSect="007D03C3">
      <w:headerReference w:type="default" r:id="rId13"/>
      <w:footerReference w:type="default" r:id="rId14"/>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5F35" w14:textId="77777777" w:rsidR="006C5B8D" w:rsidRDefault="006C5B8D" w:rsidP="002D644B">
      <w:pPr>
        <w:spacing w:after="0" w:line="240" w:lineRule="auto"/>
      </w:pPr>
      <w:r>
        <w:separator/>
      </w:r>
    </w:p>
  </w:endnote>
  <w:endnote w:type="continuationSeparator" w:id="0">
    <w:p w14:paraId="2D33C591" w14:textId="77777777" w:rsidR="006C5B8D" w:rsidRDefault="006C5B8D" w:rsidP="002D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C69D" w14:textId="77777777" w:rsidR="007D03C3" w:rsidRPr="00666AB9" w:rsidRDefault="007D03C3" w:rsidP="007D03C3">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0CE5413E" w14:textId="77777777" w:rsidR="007D03C3" w:rsidRPr="00666AB9" w:rsidRDefault="007D03C3" w:rsidP="007D03C3">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52049095" w14:textId="77777777" w:rsidR="007D03C3" w:rsidRPr="00666AB9" w:rsidRDefault="007D03C3" w:rsidP="007D03C3">
    <w:pPr>
      <w:tabs>
        <w:tab w:val="center" w:pos="4550"/>
        <w:tab w:val="left" w:pos="5818"/>
      </w:tabs>
      <w:spacing w:after="0" w:line="240" w:lineRule="auto"/>
      <w:ind w:right="260"/>
      <w:jc w:val="center"/>
      <w:rPr>
        <w:rFonts w:ascii="Verdana" w:hAnsi="Verdana"/>
        <w:sz w:val="14"/>
        <w:szCs w:val="14"/>
      </w:rPr>
    </w:pPr>
  </w:p>
  <w:p w14:paraId="142B92A7" w14:textId="77777777" w:rsidR="007D03C3" w:rsidRDefault="007D03C3" w:rsidP="007D03C3">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p>
  <w:p w14:paraId="106A97D9" w14:textId="0FD5D359" w:rsidR="009B7E37" w:rsidRPr="007D03C3" w:rsidRDefault="009B7E37" w:rsidP="007D0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2952" w14:textId="77777777" w:rsidR="006C5B8D" w:rsidRDefault="006C5B8D" w:rsidP="002D644B">
      <w:pPr>
        <w:spacing w:after="0" w:line="240" w:lineRule="auto"/>
      </w:pPr>
      <w:r>
        <w:separator/>
      </w:r>
    </w:p>
  </w:footnote>
  <w:footnote w:type="continuationSeparator" w:id="0">
    <w:p w14:paraId="3720524A" w14:textId="77777777" w:rsidR="006C5B8D" w:rsidRDefault="006C5B8D" w:rsidP="002D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06"/>
      <w:gridCol w:w="1174"/>
      <w:gridCol w:w="1330"/>
      <w:gridCol w:w="1142"/>
      <w:gridCol w:w="1277"/>
      <w:gridCol w:w="2205"/>
    </w:tblGrid>
    <w:tr w:rsidR="007D03C3" w:rsidRPr="00666AB9" w14:paraId="4C1EE3B6" w14:textId="77777777" w:rsidTr="007D03C3">
      <w:trPr>
        <w:trHeight w:val="300"/>
      </w:trPr>
      <w:tc>
        <w:tcPr>
          <w:tcW w:w="2056" w:type="dxa"/>
          <w:vMerge w:val="restart"/>
          <w:vAlign w:val="center"/>
        </w:tcPr>
        <w:p w14:paraId="30C11436" w14:textId="77777777" w:rsidR="007D03C3" w:rsidRPr="00666AB9" w:rsidRDefault="007D03C3" w:rsidP="007D03C3">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559A667D" wp14:editId="750659E5">
                <wp:simplePos x="0" y="0"/>
                <wp:positionH relativeFrom="column">
                  <wp:posOffset>121920</wp:posOffset>
                </wp:positionH>
                <wp:positionV relativeFrom="paragraph">
                  <wp:posOffset>9525</wp:posOffset>
                </wp:positionV>
                <wp:extent cx="908050" cy="554990"/>
                <wp:effectExtent l="0" t="0" r="635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434" w:type="dxa"/>
          <w:gridSpan w:val="6"/>
          <w:shd w:val="clear" w:color="auto" w:fill="BFBFBF" w:themeFill="background1" w:themeFillShade="BF"/>
          <w:vAlign w:val="center"/>
        </w:tcPr>
        <w:p w14:paraId="7A313082" w14:textId="47C4C239" w:rsidR="007D03C3" w:rsidRPr="00666AB9" w:rsidRDefault="007D03C3" w:rsidP="007D03C3">
          <w:pPr>
            <w:spacing w:after="0"/>
            <w:jc w:val="center"/>
            <w:rPr>
              <w:rFonts w:ascii="Verdana" w:hAnsi="Verdana"/>
            </w:rPr>
          </w:pPr>
          <w:r w:rsidRPr="00666AB9">
            <w:rPr>
              <w:rFonts w:ascii="Verdana" w:eastAsia="Arial" w:hAnsi="Verdana" w:cs="Arial"/>
              <w:b/>
              <w:bCs/>
              <w:color w:val="000000" w:themeColor="text1"/>
              <w:sz w:val="18"/>
              <w:szCs w:val="18"/>
            </w:rPr>
            <w:t>Proceso</w:t>
          </w:r>
          <w:r w:rsidR="00C107BD">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Pr="007D03C3">
            <w:rPr>
              <w:rFonts w:ascii="Verdana" w:eastAsia="Arial" w:hAnsi="Verdana" w:cs="Arial"/>
              <w:b/>
              <w:bCs/>
              <w:color w:val="000000" w:themeColor="text1"/>
              <w:sz w:val="18"/>
              <w:szCs w:val="18"/>
            </w:rPr>
            <w:t>Gestión de Recursos</w:t>
          </w:r>
        </w:p>
      </w:tc>
    </w:tr>
    <w:tr w:rsidR="007D03C3" w:rsidRPr="00666AB9" w14:paraId="5AAB7FDD" w14:textId="77777777" w:rsidTr="007D03C3">
      <w:trPr>
        <w:trHeight w:val="537"/>
      </w:trPr>
      <w:tc>
        <w:tcPr>
          <w:tcW w:w="2056" w:type="dxa"/>
          <w:vMerge/>
        </w:tcPr>
        <w:p w14:paraId="581299F4" w14:textId="77777777" w:rsidR="007D03C3" w:rsidRPr="00666AB9" w:rsidRDefault="007D03C3" w:rsidP="007D03C3">
          <w:pPr>
            <w:rPr>
              <w:rFonts w:ascii="Verdana" w:hAnsi="Verdana"/>
            </w:rPr>
          </w:pPr>
        </w:p>
      </w:tc>
      <w:tc>
        <w:tcPr>
          <w:tcW w:w="8434" w:type="dxa"/>
          <w:gridSpan w:val="6"/>
          <w:shd w:val="clear" w:color="auto" w:fill="FFFFFF" w:themeFill="background1"/>
          <w:vAlign w:val="center"/>
        </w:tcPr>
        <w:p w14:paraId="5CA90180" w14:textId="6F59021F" w:rsidR="007D03C3" w:rsidRPr="00666AB9" w:rsidRDefault="007D03C3" w:rsidP="007D03C3">
          <w:pPr>
            <w:spacing w:after="0"/>
            <w:jc w:val="center"/>
            <w:rPr>
              <w:rFonts w:ascii="Verdana" w:eastAsia="Arial" w:hAnsi="Verdana" w:cs="Arial"/>
              <w:b/>
              <w:bCs/>
              <w:color w:val="000000" w:themeColor="text1"/>
              <w:sz w:val="24"/>
              <w:szCs w:val="24"/>
            </w:rPr>
          </w:pPr>
          <w:r w:rsidRPr="007D03C3">
            <w:rPr>
              <w:rFonts w:ascii="Verdana" w:eastAsia="Arial" w:hAnsi="Verdana" w:cs="Arial"/>
              <w:b/>
              <w:bCs/>
              <w:color w:val="000000" w:themeColor="text1"/>
              <w:sz w:val="24"/>
              <w:szCs w:val="24"/>
            </w:rPr>
            <w:t>MEMORANDO NOTIFICACIÓN INICIO DE EJECUCIÓN CONTRATO/CONVENIO ESTATAL</w:t>
          </w:r>
        </w:p>
      </w:tc>
    </w:tr>
    <w:tr w:rsidR="007D03C3" w:rsidRPr="00666AB9" w14:paraId="7EAD336A" w14:textId="77777777" w:rsidTr="007D03C3">
      <w:trPr>
        <w:trHeight w:val="300"/>
      </w:trPr>
      <w:tc>
        <w:tcPr>
          <w:tcW w:w="2056" w:type="dxa"/>
          <w:vMerge/>
        </w:tcPr>
        <w:p w14:paraId="00551E80" w14:textId="77777777" w:rsidR="007D03C3" w:rsidRPr="00666AB9" w:rsidRDefault="007D03C3" w:rsidP="007D03C3">
          <w:pPr>
            <w:rPr>
              <w:rFonts w:ascii="Verdana" w:hAnsi="Verdana"/>
            </w:rPr>
          </w:pPr>
        </w:p>
      </w:tc>
      <w:tc>
        <w:tcPr>
          <w:tcW w:w="1306" w:type="dxa"/>
          <w:shd w:val="clear" w:color="auto" w:fill="BFBFBF" w:themeFill="background1" w:themeFillShade="BF"/>
          <w:vAlign w:val="center"/>
        </w:tcPr>
        <w:p w14:paraId="5C7FC67A" w14:textId="77777777" w:rsidR="007D03C3" w:rsidRPr="00666AB9" w:rsidRDefault="007D03C3" w:rsidP="007D03C3">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174" w:type="dxa"/>
          <w:shd w:val="clear" w:color="auto" w:fill="FFFFFF" w:themeFill="background1"/>
          <w:vAlign w:val="center"/>
        </w:tcPr>
        <w:p w14:paraId="2CEE1615" w14:textId="58862574" w:rsidR="007D03C3" w:rsidRPr="00666AB9" w:rsidRDefault="00C107BD" w:rsidP="007D03C3">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GR-FM-049</w:t>
          </w:r>
        </w:p>
      </w:tc>
      <w:tc>
        <w:tcPr>
          <w:tcW w:w="1330" w:type="dxa"/>
          <w:shd w:val="clear" w:color="auto" w:fill="BFBFBF" w:themeFill="background1" w:themeFillShade="BF"/>
          <w:vAlign w:val="center"/>
        </w:tcPr>
        <w:p w14:paraId="44D1EABC" w14:textId="77777777" w:rsidR="007D03C3" w:rsidRPr="00666AB9" w:rsidRDefault="007D03C3" w:rsidP="007D03C3">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142" w:type="dxa"/>
          <w:shd w:val="clear" w:color="auto" w:fill="FFFFFF" w:themeFill="background1"/>
          <w:vAlign w:val="center"/>
        </w:tcPr>
        <w:p w14:paraId="44271699" w14:textId="1BEF3A68" w:rsidR="007D03C3" w:rsidRPr="00666AB9" w:rsidRDefault="00C107BD" w:rsidP="007D03C3">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277" w:type="dxa"/>
          <w:shd w:val="clear" w:color="auto" w:fill="BFBFBF" w:themeFill="background1" w:themeFillShade="BF"/>
          <w:vAlign w:val="center"/>
        </w:tcPr>
        <w:p w14:paraId="2A9ABF6E" w14:textId="77777777" w:rsidR="007D03C3" w:rsidRPr="00666AB9" w:rsidRDefault="007D03C3" w:rsidP="007D03C3">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205" w:type="dxa"/>
          <w:shd w:val="clear" w:color="auto" w:fill="FFFFFF" w:themeFill="background1"/>
          <w:vAlign w:val="center"/>
        </w:tcPr>
        <w:p w14:paraId="0DAE9C41" w14:textId="3081B1CA" w:rsidR="007D03C3" w:rsidRPr="00666AB9" w:rsidRDefault="00C107BD" w:rsidP="007D03C3">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63419D7D" w14:textId="77777777" w:rsidR="002D644B" w:rsidRDefault="002D6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D0DA2"/>
    <w:multiLevelType w:val="multilevel"/>
    <w:tmpl w:val="08AE5E30"/>
    <w:lvl w:ilvl="0">
      <w:start w:val="1"/>
      <w:numFmt w:val="decimal"/>
      <w:lvlText w:val="%1."/>
      <w:lvlJc w:val="left"/>
      <w:pPr>
        <w:tabs>
          <w:tab w:val="num" w:pos="720"/>
        </w:tabs>
        <w:ind w:left="720" w:hanging="360"/>
      </w:pPr>
      <w:rPr>
        <w:rFonts w:hint="default"/>
        <w:b/>
        <w:i w:val="0"/>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80E5DE6"/>
    <w:multiLevelType w:val="multilevel"/>
    <w:tmpl w:val="F4366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DEE46D3"/>
    <w:multiLevelType w:val="multilevel"/>
    <w:tmpl w:val="D88E3E0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2143869">
    <w:abstractNumId w:val="2"/>
  </w:num>
  <w:num w:numId="2" w16cid:durableId="139199927">
    <w:abstractNumId w:val="1"/>
  </w:num>
  <w:num w:numId="3" w16cid:durableId="166632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37"/>
    <w:rsid w:val="00133B57"/>
    <w:rsid w:val="00215F2F"/>
    <w:rsid w:val="002A41EF"/>
    <w:rsid w:val="002D644B"/>
    <w:rsid w:val="003B2C92"/>
    <w:rsid w:val="003F0637"/>
    <w:rsid w:val="00436AA4"/>
    <w:rsid w:val="00454D9B"/>
    <w:rsid w:val="006B641B"/>
    <w:rsid w:val="006C5B8D"/>
    <w:rsid w:val="00712A3A"/>
    <w:rsid w:val="007167CA"/>
    <w:rsid w:val="00742B8C"/>
    <w:rsid w:val="007D03C3"/>
    <w:rsid w:val="00805DF7"/>
    <w:rsid w:val="008367A8"/>
    <w:rsid w:val="0085358D"/>
    <w:rsid w:val="008A6E55"/>
    <w:rsid w:val="00900757"/>
    <w:rsid w:val="00992920"/>
    <w:rsid w:val="009B7E37"/>
    <w:rsid w:val="00A92F03"/>
    <w:rsid w:val="00AB604B"/>
    <w:rsid w:val="00B04299"/>
    <w:rsid w:val="00BC5282"/>
    <w:rsid w:val="00C107BD"/>
    <w:rsid w:val="00E17EE2"/>
    <w:rsid w:val="00F077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B69E"/>
  <w15:chartTrackingRefBased/>
  <w15:docId w15:val="{1DE94622-0242-4411-A2BF-EFEB8A81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6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yperlink">
    <w:name w:val="Hyperlink"/>
    <w:basedOn w:val="DefaultParagraphFont"/>
    <w:uiPriority w:val="99"/>
    <w:unhideWhenUsed/>
    <w:rsid w:val="003F0637"/>
    <w:rPr>
      <w:color w:val="0563C1" w:themeColor="hyperlink"/>
      <w:u w:val="single"/>
    </w:rPr>
  </w:style>
  <w:style w:type="paragraph" w:styleId="ListParagraph">
    <w:name w:val="List Paragraph"/>
    <w:basedOn w:val="Normal"/>
    <w:uiPriority w:val="34"/>
    <w:qFormat/>
    <w:rsid w:val="003F0637"/>
    <w:pPr>
      <w:ind w:left="720"/>
      <w:contextualSpacing/>
    </w:pPr>
  </w:style>
  <w:style w:type="paragraph" w:styleId="Header">
    <w:name w:val="header"/>
    <w:basedOn w:val="Normal"/>
    <w:link w:val="HeaderChar"/>
    <w:uiPriority w:val="99"/>
    <w:unhideWhenUsed/>
    <w:rsid w:val="002D644B"/>
    <w:pPr>
      <w:tabs>
        <w:tab w:val="center" w:pos="4419"/>
        <w:tab w:val="right" w:pos="8838"/>
      </w:tabs>
      <w:spacing w:after="0" w:line="240" w:lineRule="auto"/>
    </w:pPr>
  </w:style>
  <w:style w:type="character" w:customStyle="1" w:styleId="HeaderChar">
    <w:name w:val="Header Char"/>
    <w:basedOn w:val="DefaultParagraphFont"/>
    <w:link w:val="Header"/>
    <w:uiPriority w:val="99"/>
    <w:rsid w:val="002D644B"/>
  </w:style>
  <w:style w:type="paragraph" w:styleId="Footer">
    <w:name w:val="footer"/>
    <w:basedOn w:val="Normal"/>
    <w:link w:val="FooterChar"/>
    <w:unhideWhenUsed/>
    <w:rsid w:val="002D644B"/>
    <w:pPr>
      <w:tabs>
        <w:tab w:val="center" w:pos="4419"/>
        <w:tab w:val="right" w:pos="8838"/>
      </w:tabs>
      <w:spacing w:after="0" w:line="240" w:lineRule="auto"/>
    </w:pPr>
  </w:style>
  <w:style w:type="character" w:customStyle="1" w:styleId="FooterChar">
    <w:name w:val="Footer Char"/>
    <w:basedOn w:val="DefaultParagraphFont"/>
    <w:link w:val="Footer"/>
    <w:rsid w:val="002D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567">
      <w:bodyDiv w:val="1"/>
      <w:marLeft w:val="0"/>
      <w:marRight w:val="0"/>
      <w:marTop w:val="0"/>
      <w:marBottom w:val="0"/>
      <w:divBdr>
        <w:top w:val="none" w:sz="0" w:space="0" w:color="auto"/>
        <w:left w:val="none" w:sz="0" w:space="0" w:color="auto"/>
        <w:bottom w:val="none" w:sz="0" w:space="0" w:color="auto"/>
        <w:right w:val="none" w:sz="0" w:space="0" w:color="auto"/>
      </w:divBdr>
    </w:div>
    <w:div w:id="15311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mbiacompra.gov.co/secopii/3235/22987/Seguimiento%20a%20la%20ejecuci%C3%B3n%20contract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mbiacompra.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AD848-252D-4F23-A0BC-625490189400}">
  <ds:schemaRefs>
    <ds:schemaRef ds:uri="http://schemas.openxmlformats.org/officeDocument/2006/bibliography"/>
  </ds:schemaRefs>
</ds:datastoreItem>
</file>

<file path=customXml/itemProps2.xml><?xml version="1.0" encoding="utf-8"?>
<ds:datastoreItem xmlns:ds="http://schemas.openxmlformats.org/officeDocument/2006/customXml" ds:itemID="{C49051ED-A976-4C67-9919-B5ABCF0C8CB2}">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46F2CCCD-B653-4B4D-BA11-CBBA2B32034B}">
  <ds:schemaRefs>
    <ds:schemaRef ds:uri="http://schemas.microsoft.com/sharepoint/v3/contenttype/forms"/>
  </ds:schemaRefs>
</ds:datastoreItem>
</file>

<file path=customXml/itemProps4.xml><?xml version="1.0" encoding="utf-8"?>
<ds:datastoreItem xmlns:ds="http://schemas.openxmlformats.org/officeDocument/2006/customXml" ds:itemID="{73B15390-F261-4542-991E-66D93469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Yurian Alexandra Penagos Torres -Cont</dc:creator>
  <cp:keywords/>
  <dc:description/>
  <cp:lastModifiedBy>Jefferson Orlando Lopez Saavedra</cp:lastModifiedBy>
  <cp:revision>2</cp:revision>
  <dcterms:created xsi:type="dcterms:W3CDTF">2026-06-08T21:02:00Z</dcterms:created>
  <dcterms:modified xsi:type="dcterms:W3CDTF">2026-06-08T21:02:00Z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