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ABFAC2F" w14:textId="77777777" w:rsidR="003E7878" w:rsidRDefault="003E7878" w:rsidP="68F2A381">
      <w:pPr>
        <w:spacing w:after="0" w:line="240" w:lineRule="auto"/>
        <w:jc w:val="center"/>
        <w:rPr>
          <w:rFonts w:ascii="Verdana" w:hAnsi="Verdana"/>
          <w:b/>
          <w:bCs/>
          <w:sz w:val="34"/>
          <w:szCs w:val="34"/>
        </w:rPr>
      </w:pPr>
      <w:r w:rsidRPr="003E7878">
        <w:rPr>
          <w:rFonts w:ascii="Verdana" w:hAnsi="Verdana"/>
          <w:b/>
          <w:bCs/>
          <w:sz w:val="34"/>
          <w:szCs w:val="34"/>
        </w:rPr>
        <w:t xml:space="preserve">GUÍA PARA LA ELABORACIÓN DE CONCILIACIONES BANCARIAS </w:t>
      </w:r>
    </w:p>
    <w:p w14:paraId="4C3FB2FD" w14:textId="161F4CBC" w:rsidR="00823028" w:rsidRPr="00DD7470" w:rsidRDefault="00211D1A"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sidR="000750E7">
        <w:rPr>
          <w:rFonts w:ascii="Verdana" w:eastAsia="Verdana" w:hAnsi="Verdana" w:cs="Verdana"/>
          <w:b/>
          <w:bCs/>
          <w:sz w:val="32"/>
          <w:szCs w:val="32"/>
          <w:lang w:val="es-ES"/>
        </w:rPr>
        <w:t>018</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73D4D34C"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D72124">
        <w:rPr>
          <w:rFonts w:ascii="Verdana" w:eastAsia="Verdana" w:hAnsi="Verdana" w:cs="Verdana"/>
          <w:b/>
          <w:bCs/>
          <w:sz w:val="32"/>
          <w:szCs w:val="32"/>
        </w:rPr>
        <w:t xml:space="preserve"> de Gestión de Recursos</w:t>
      </w:r>
    </w:p>
    <w:p w14:paraId="63BD9B9C" w14:textId="62227F9C" w:rsidR="00B65F21" w:rsidRPr="00DD7470" w:rsidRDefault="4A9FC2A0" w:rsidP="68F2A381">
      <w:pPr>
        <w:spacing w:after="0" w:line="240" w:lineRule="auto"/>
        <w:jc w:val="center"/>
        <w:rPr>
          <w:rFonts w:ascii="Verdana" w:eastAsia="Verdana" w:hAnsi="Verdana" w:cs="Verdana"/>
          <w:b/>
          <w:bCs/>
          <w:sz w:val="32"/>
          <w:szCs w:val="32"/>
        </w:rPr>
      </w:pPr>
      <w:r w:rsidRPr="10ACF8FB">
        <w:rPr>
          <w:rFonts w:ascii="Verdana" w:eastAsia="Verdana" w:hAnsi="Verdana" w:cs="Verdana"/>
          <w:b/>
          <w:bCs/>
          <w:sz w:val="32"/>
          <w:szCs w:val="32"/>
        </w:rPr>
        <w:t>Junio</w:t>
      </w:r>
      <w:r w:rsidR="009A163B" w:rsidRPr="10ACF8FB">
        <w:rPr>
          <w:rFonts w:ascii="Verdana" w:eastAsia="Verdana" w:hAnsi="Verdana" w:cs="Verdana"/>
          <w:b/>
          <w:bCs/>
          <w:sz w:val="32"/>
          <w:szCs w:val="32"/>
        </w:rPr>
        <w:t xml:space="preserve"> - </w:t>
      </w:r>
      <w:r w:rsidR="19777228" w:rsidRPr="10ACF8FB">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40E72" w:rsidRDefault="005627FA" w:rsidP="68F2A381">
          <w:pPr>
            <w:spacing w:line="240" w:lineRule="auto"/>
            <w:rPr>
              <w:rFonts w:ascii="Verdana" w:eastAsia="Verdana" w:hAnsi="Verdana" w:cs="Verdana"/>
              <w:sz w:val="20"/>
              <w:szCs w:val="20"/>
              <w:lang w:val="es-ES" w:eastAsia="es-CO"/>
            </w:rPr>
          </w:pPr>
        </w:p>
        <w:p w14:paraId="365E9D8A" w14:textId="6168FA62" w:rsidR="00D40E72" w:rsidRPr="00D40E72" w:rsidRDefault="009652CF">
          <w:pPr>
            <w:pStyle w:val="TOC1"/>
            <w:tabs>
              <w:tab w:val="right" w:leader="dot" w:pos="10790"/>
            </w:tabs>
            <w:rPr>
              <w:rFonts w:eastAsiaTheme="minorEastAsia"/>
              <w:noProof/>
              <w:sz w:val="24"/>
              <w:szCs w:val="24"/>
              <w:lang w:eastAsia="es-CO"/>
            </w:rPr>
          </w:pPr>
          <w:r w:rsidRPr="00D40E72">
            <w:rPr>
              <w:rFonts w:ascii="Verdana" w:hAnsi="Verdana"/>
              <w:sz w:val="20"/>
              <w:szCs w:val="20"/>
            </w:rPr>
            <w:fldChar w:fldCharType="begin"/>
          </w:r>
          <w:r w:rsidRPr="00D40E72">
            <w:rPr>
              <w:rFonts w:ascii="Verdana" w:hAnsi="Verdana"/>
              <w:sz w:val="20"/>
              <w:szCs w:val="20"/>
            </w:rPr>
            <w:instrText xml:space="preserve"> TOC \o "1-3" \h \z \u </w:instrText>
          </w:r>
          <w:r w:rsidRPr="00D40E72">
            <w:rPr>
              <w:rFonts w:ascii="Verdana" w:hAnsi="Verdana"/>
              <w:sz w:val="20"/>
              <w:szCs w:val="20"/>
            </w:rPr>
            <w:fldChar w:fldCharType="separate"/>
          </w:r>
          <w:hyperlink w:anchor="_Toc224726464" w:history="1">
            <w:r w:rsidR="00D40E72" w:rsidRPr="00D40E72">
              <w:rPr>
                <w:rStyle w:val="Hyperlink"/>
                <w:rFonts w:ascii="Verdana" w:eastAsia="Verdana" w:hAnsi="Verdana" w:cs="Verdana"/>
                <w:noProof/>
              </w:rPr>
              <w:t>1. OBJETIVO</w:t>
            </w:r>
            <w:r w:rsidR="00D40E72" w:rsidRPr="00D40E72">
              <w:rPr>
                <w:noProof/>
                <w:webHidden/>
              </w:rPr>
              <w:tab/>
            </w:r>
            <w:r w:rsidR="00D40E72" w:rsidRPr="00D40E72">
              <w:rPr>
                <w:noProof/>
                <w:webHidden/>
              </w:rPr>
              <w:fldChar w:fldCharType="begin"/>
            </w:r>
            <w:r w:rsidR="00D40E72" w:rsidRPr="00D40E72">
              <w:rPr>
                <w:noProof/>
                <w:webHidden/>
              </w:rPr>
              <w:instrText xml:space="preserve"> PAGEREF _Toc224726464 \h </w:instrText>
            </w:r>
            <w:r w:rsidR="00D40E72" w:rsidRPr="00D40E72">
              <w:rPr>
                <w:noProof/>
                <w:webHidden/>
              </w:rPr>
            </w:r>
            <w:r w:rsidR="00D40E72" w:rsidRPr="00D40E72">
              <w:rPr>
                <w:noProof/>
                <w:webHidden/>
              </w:rPr>
              <w:fldChar w:fldCharType="separate"/>
            </w:r>
            <w:r w:rsidR="00D40E72" w:rsidRPr="00D40E72">
              <w:rPr>
                <w:noProof/>
                <w:webHidden/>
              </w:rPr>
              <w:t>3</w:t>
            </w:r>
            <w:r w:rsidR="00D40E72" w:rsidRPr="00D40E72">
              <w:rPr>
                <w:noProof/>
                <w:webHidden/>
              </w:rPr>
              <w:fldChar w:fldCharType="end"/>
            </w:r>
          </w:hyperlink>
        </w:p>
        <w:p w14:paraId="66CE96E4" w14:textId="0EA076A3" w:rsidR="00D40E72" w:rsidRPr="00D40E72" w:rsidRDefault="00D40E72">
          <w:pPr>
            <w:pStyle w:val="TOC1"/>
            <w:tabs>
              <w:tab w:val="right" w:leader="dot" w:pos="10790"/>
            </w:tabs>
            <w:rPr>
              <w:rFonts w:eastAsiaTheme="minorEastAsia"/>
              <w:noProof/>
              <w:sz w:val="24"/>
              <w:szCs w:val="24"/>
              <w:lang w:eastAsia="es-CO"/>
            </w:rPr>
          </w:pPr>
          <w:hyperlink w:anchor="_Toc224726465" w:history="1">
            <w:r w:rsidRPr="00D40E72">
              <w:rPr>
                <w:rStyle w:val="Hyperlink"/>
                <w:rFonts w:ascii="Verdana" w:eastAsia="Verdana" w:hAnsi="Verdana" w:cs="Verdana"/>
                <w:noProof/>
              </w:rPr>
              <w:t>2. ALCANCE</w:t>
            </w:r>
            <w:r w:rsidRPr="00D40E72">
              <w:rPr>
                <w:noProof/>
                <w:webHidden/>
              </w:rPr>
              <w:tab/>
            </w:r>
            <w:r w:rsidRPr="00D40E72">
              <w:rPr>
                <w:noProof/>
                <w:webHidden/>
              </w:rPr>
              <w:fldChar w:fldCharType="begin"/>
            </w:r>
            <w:r w:rsidRPr="00D40E72">
              <w:rPr>
                <w:noProof/>
                <w:webHidden/>
              </w:rPr>
              <w:instrText xml:space="preserve"> PAGEREF _Toc224726465 \h </w:instrText>
            </w:r>
            <w:r w:rsidRPr="00D40E72">
              <w:rPr>
                <w:noProof/>
                <w:webHidden/>
              </w:rPr>
            </w:r>
            <w:r w:rsidRPr="00D40E72">
              <w:rPr>
                <w:noProof/>
                <w:webHidden/>
              </w:rPr>
              <w:fldChar w:fldCharType="separate"/>
            </w:r>
            <w:r w:rsidRPr="00D40E72">
              <w:rPr>
                <w:noProof/>
                <w:webHidden/>
              </w:rPr>
              <w:t>3</w:t>
            </w:r>
            <w:r w:rsidRPr="00D40E72">
              <w:rPr>
                <w:noProof/>
                <w:webHidden/>
              </w:rPr>
              <w:fldChar w:fldCharType="end"/>
            </w:r>
          </w:hyperlink>
        </w:p>
        <w:p w14:paraId="1E7F87EA" w14:textId="78591424" w:rsidR="00D40E72" w:rsidRPr="00D40E72" w:rsidRDefault="00D40E72">
          <w:pPr>
            <w:pStyle w:val="TOC1"/>
            <w:tabs>
              <w:tab w:val="right" w:leader="dot" w:pos="10790"/>
            </w:tabs>
            <w:rPr>
              <w:rFonts w:eastAsiaTheme="minorEastAsia"/>
              <w:noProof/>
              <w:sz w:val="24"/>
              <w:szCs w:val="24"/>
              <w:lang w:eastAsia="es-CO"/>
            </w:rPr>
          </w:pPr>
          <w:hyperlink w:anchor="_Toc224726466" w:history="1">
            <w:r w:rsidRPr="00D40E72">
              <w:rPr>
                <w:rStyle w:val="Hyperlink"/>
                <w:rFonts w:ascii="Verdana" w:eastAsia="Verdana" w:hAnsi="Verdana" w:cs="Verdana"/>
                <w:noProof/>
              </w:rPr>
              <w:t>3. DEFINICIONES</w:t>
            </w:r>
            <w:r w:rsidRPr="00D40E72">
              <w:rPr>
                <w:noProof/>
                <w:webHidden/>
              </w:rPr>
              <w:tab/>
            </w:r>
            <w:r w:rsidRPr="00D40E72">
              <w:rPr>
                <w:noProof/>
                <w:webHidden/>
              </w:rPr>
              <w:fldChar w:fldCharType="begin"/>
            </w:r>
            <w:r w:rsidRPr="00D40E72">
              <w:rPr>
                <w:noProof/>
                <w:webHidden/>
              </w:rPr>
              <w:instrText xml:space="preserve"> PAGEREF _Toc224726466 \h </w:instrText>
            </w:r>
            <w:r w:rsidRPr="00D40E72">
              <w:rPr>
                <w:noProof/>
                <w:webHidden/>
              </w:rPr>
            </w:r>
            <w:r w:rsidRPr="00D40E72">
              <w:rPr>
                <w:noProof/>
                <w:webHidden/>
              </w:rPr>
              <w:fldChar w:fldCharType="separate"/>
            </w:r>
            <w:r w:rsidRPr="00D40E72">
              <w:rPr>
                <w:noProof/>
                <w:webHidden/>
              </w:rPr>
              <w:t>3</w:t>
            </w:r>
            <w:r w:rsidRPr="00D40E72">
              <w:rPr>
                <w:noProof/>
                <w:webHidden/>
              </w:rPr>
              <w:fldChar w:fldCharType="end"/>
            </w:r>
          </w:hyperlink>
        </w:p>
        <w:p w14:paraId="1D8DE2BE" w14:textId="58764C8B" w:rsidR="00D40E72" w:rsidRPr="00D40E72" w:rsidRDefault="00D40E72">
          <w:pPr>
            <w:pStyle w:val="TOC1"/>
            <w:tabs>
              <w:tab w:val="right" w:leader="dot" w:pos="10790"/>
            </w:tabs>
            <w:rPr>
              <w:rFonts w:eastAsiaTheme="minorEastAsia"/>
              <w:noProof/>
              <w:sz w:val="24"/>
              <w:szCs w:val="24"/>
              <w:lang w:eastAsia="es-CO"/>
            </w:rPr>
          </w:pPr>
          <w:hyperlink w:anchor="_Toc224726467" w:history="1">
            <w:r w:rsidRPr="00D40E72">
              <w:rPr>
                <w:rStyle w:val="Hyperlink"/>
                <w:rFonts w:ascii="Verdana" w:eastAsia="Verdana" w:hAnsi="Verdana"/>
                <w:noProof/>
              </w:rPr>
              <w:t>4. CONDICIONES GENERALES</w:t>
            </w:r>
            <w:r w:rsidRPr="00D40E72">
              <w:rPr>
                <w:noProof/>
                <w:webHidden/>
              </w:rPr>
              <w:tab/>
            </w:r>
            <w:r w:rsidRPr="00D40E72">
              <w:rPr>
                <w:noProof/>
                <w:webHidden/>
              </w:rPr>
              <w:fldChar w:fldCharType="begin"/>
            </w:r>
            <w:r w:rsidRPr="00D40E72">
              <w:rPr>
                <w:noProof/>
                <w:webHidden/>
              </w:rPr>
              <w:instrText xml:space="preserve"> PAGEREF _Toc224726467 \h </w:instrText>
            </w:r>
            <w:r w:rsidRPr="00D40E72">
              <w:rPr>
                <w:noProof/>
                <w:webHidden/>
              </w:rPr>
            </w:r>
            <w:r w:rsidRPr="00D40E72">
              <w:rPr>
                <w:noProof/>
                <w:webHidden/>
              </w:rPr>
              <w:fldChar w:fldCharType="separate"/>
            </w:r>
            <w:r w:rsidRPr="00D40E72">
              <w:rPr>
                <w:noProof/>
                <w:webHidden/>
              </w:rPr>
              <w:t>4</w:t>
            </w:r>
            <w:r w:rsidRPr="00D40E72">
              <w:rPr>
                <w:noProof/>
                <w:webHidden/>
              </w:rPr>
              <w:fldChar w:fldCharType="end"/>
            </w:r>
          </w:hyperlink>
        </w:p>
        <w:p w14:paraId="6740587B" w14:textId="743901A5" w:rsidR="00D40E72" w:rsidRPr="00D40E72" w:rsidRDefault="00D40E72">
          <w:pPr>
            <w:pStyle w:val="TOC2"/>
            <w:tabs>
              <w:tab w:val="right" w:leader="dot" w:pos="10790"/>
            </w:tabs>
            <w:rPr>
              <w:rFonts w:eastAsiaTheme="minorEastAsia"/>
              <w:noProof/>
              <w:sz w:val="24"/>
              <w:szCs w:val="24"/>
              <w:lang w:eastAsia="es-CO"/>
            </w:rPr>
          </w:pPr>
          <w:hyperlink w:anchor="_Toc224726468" w:history="1">
            <w:r w:rsidRPr="00D40E72">
              <w:rPr>
                <w:rStyle w:val="Hyperlink"/>
                <w:rFonts w:ascii="Verdana" w:hAnsi="Verdana"/>
                <w:noProof/>
              </w:rPr>
              <w:t>4.1 NORMATIVIDAD</w:t>
            </w:r>
            <w:r w:rsidRPr="00D40E72">
              <w:rPr>
                <w:noProof/>
                <w:webHidden/>
              </w:rPr>
              <w:tab/>
            </w:r>
            <w:r w:rsidRPr="00D40E72">
              <w:rPr>
                <w:noProof/>
                <w:webHidden/>
              </w:rPr>
              <w:fldChar w:fldCharType="begin"/>
            </w:r>
            <w:r w:rsidRPr="00D40E72">
              <w:rPr>
                <w:noProof/>
                <w:webHidden/>
              </w:rPr>
              <w:instrText xml:space="preserve"> PAGEREF _Toc224726468 \h </w:instrText>
            </w:r>
            <w:r w:rsidRPr="00D40E72">
              <w:rPr>
                <w:noProof/>
                <w:webHidden/>
              </w:rPr>
            </w:r>
            <w:r w:rsidRPr="00D40E72">
              <w:rPr>
                <w:noProof/>
                <w:webHidden/>
              </w:rPr>
              <w:fldChar w:fldCharType="separate"/>
            </w:r>
            <w:r w:rsidRPr="00D40E72">
              <w:rPr>
                <w:noProof/>
                <w:webHidden/>
              </w:rPr>
              <w:t>4</w:t>
            </w:r>
            <w:r w:rsidRPr="00D40E72">
              <w:rPr>
                <w:noProof/>
                <w:webHidden/>
              </w:rPr>
              <w:fldChar w:fldCharType="end"/>
            </w:r>
          </w:hyperlink>
        </w:p>
        <w:p w14:paraId="2A8F4F23" w14:textId="2654DE9A" w:rsidR="00D40E72" w:rsidRPr="00D40E72" w:rsidRDefault="00D40E72">
          <w:pPr>
            <w:pStyle w:val="TOC1"/>
            <w:tabs>
              <w:tab w:val="right" w:leader="dot" w:pos="10790"/>
            </w:tabs>
            <w:rPr>
              <w:rFonts w:eastAsiaTheme="minorEastAsia"/>
              <w:noProof/>
              <w:sz w:val="24"/>
              <w:szCs w:val="24"/>
              <w:lang w:eastAsia="es-CO"/>
            </w:rPr>
          </w:pPr>
          <w:hyperlink w:anchor="_Toc224726469" w:history="1">
            <w:r w:rsidRPr="00D40E72">
              <w:rPr>
                <w:rStyle w:val="Hyperlink"/>
                <w:rFonts w:ascii="Verdana" w:eastAsia="Verdana" w:hAnsi="Verdana" w:cs="Verdana"/>
                <w:noProof/>
              </w:rPr>
              <w:t>5. DESARROLLO</w:t>
            </w:r>
            <w:r w:rsidRPr="00D40E72">
              <w:rPr>
                <w:noProof/>
                <w:webHidden/>
              </w:rPr>
              <w:tab/>
            </w:r>
            <w:r w:rsidRPr="00D40E72">
              <w:rPr>
                <w:noProof/>
                <w:webHidden/>
              </w:rPr>
              <w:fldChar w:fldCharType="begin"/>
            </w:r>
            <w:r w:rsidRPr="00D40E72">
              <w:rPr>
                <w:noProof/>
                <w:webHidden/>
              </w:rPr>
              <w:instrText xml:space="preserve"> PAGEREF _Toc224726469 \h </w:instrText>
            </w:r>
            <w:r w:rsidRPr="00D40E72">
              <w:rPr>
                <w:noProof/>
                <w:webHidden/>
              </w:rPr>
            </w:r>
            <w:r w:rsidRPr="00D40E72">
              <w:rPr>
                <w:noProof/>
                <w:webHidden/>
              </w:rPr>
              <w:fldChar w:fldCharType="separate"/>
            </w:r>
            <w:r w:rsidRPr="00D40E72">
              <w:rPr>
                <w:noProof/>
                <w:webHidden/>
              </w:rPr>
              <w:t>4</w:t>
            </w:r>
            <w:r w:rsidRPr="00D40E72">
              <w:rPr>
                <w:noProof/>
                <w:webHidden/>
              </w:rPr>
              <w:fldChar w:fldCharType="end"/>
            </w:r>
          </w:hyperlink>
        </w:p>
        <w:p w14:paraId="56DBAD22" w14:textId="2CB8112C" w:rsidR="00D40E72" w:rsidRPr="00D40E72" w:rsidRDefault="00D40E72">
          <w:pPr>
            <w:pStyle w:val="TOC1"/>
            <w:tabs>
              <w:tab w:val="right" w:leader="dot" w:pos="10790"/>
            </w:tabs>
            <w:rPr>
              <w:rFonts w:eastAsiaTheme="minorEastAsia"/>
              <w:noProof/>
              <w:sz w:val="24"/>
              <w:szCs w:val="24"/>
              <w:lang w:eastAsia="es-CO"/>
            </w:rPr>
          </w:pPr>
          <w:hyperlink w:anchor="_Toc224726470" w:history="1">
            <w:r w:rsidRPr="00D40E72">
              <w:rPr>
                <w:rStyle w:val="Hyperlink"/>
                <w:rFonts w:ascii="Verdana" w:eastAsia="Verdana" w:hAnsi="Verdana" w:cs="Verdana"/>
                <w:noProof/>
              </w:rPr>
              <w:t>6. HISTORIAL DE CAMBIOS</w:t>
            </w:r>
            <w:r w:rsidRPr="00D40E72">
              <w:rPr>
                <w:noProof/>
                <w:webHidden/>
              </w:rPr>
              <w:tab/>
            </w:r>
            <w:r w:rsidRPr="00D40E72">
              <w:rPr>
                <w:noProof/>
                <w:webHidden/>
              </w:rPr>
              <w:fldChar w:fldCharType="begin"/>
            </w:r>
            <w:r w:rsidRPr="00D40E72">
              <w:rPr>
                <w:noProof/>
                <w:webHidden/>
              </w:rPr>
              <w:instrText xml:space="preserve"> PAGEREF _Toc224726470 \h </w:instrText>
            </w:r>
            <w:r w:rsidRPr="00D40E72">
              <w:rPr>
                <w:noProof/>
                <w:webHidden/>
              </w:rPr>
            </w:r>
            <w:r w:rsidRPr="00D40E72">
              <w:rPr>
                <w:noProof/>
                <w:webHidden/>
              </w:rPr>
              <w:fldChar w:fldCharType="separate"/>
            </w:r>
            <w:r w:rsidRPr="00D40E72">
              <w:rPr>
                <w:noProof/>
                <w:webHidden/>
              </w:rPr>
              <w:t>5</w:t>
            </w:r>
            <w:r w:rsidRPr="00D40E72">
              <w:rPr>
                <w:noProof/>
                <w:webHidden/>
              </w:rPr>
              <w:fldChar w:fldCharType="end"/>
            </w:r>
          </w:hyperlink>
        </w:p>
        <w:p w14:paraId="17587CEC" w14:textId="448DCCC4" w:rsidR="009652CF" w:rsidRPr="00DD7470" w:rsidRDefault="009652CF" w:rsidP="68F2A381">
          <w:pPr>
            <w:spacing w:line="240" w:lineRule="auto"/>
            <w:rPr>
              <w:rFonts w:ascii="Verdana" w:eastAsia="Verdana" w:hAnsi="Verdana" w:cs="Verdana"/>
              <w:sz w:val="20"/>
              <w:szCs w:val="20"/>
            </w:rPr>
          </w:pPr>
          <w:r w:rsidRPr="00D40E72">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14B2899E" w14:textId="77777777" w:rsidR="007D4EE7" w:rsidRDefault="007D4EE7" w:rsidP="68F2A381">
      <w:pPr>
        <w:spacing w:after="0" w:line="240" w:lineRule="auto"/>
        <w:ind w:left="708" w:hanging="708"/>
        <w:rPr>
          <w:b/>
          <w:bCs/>
          <w:lang w:val="es-ES"/>
        </w:rPr>
      </w:pPr>
    </w:p>
    <w:p w14:paraId="6C958424" w14:textId="77777777" w:rsidR="007D4EE7" w:rsidRDefault="007D4EE7" w:rsidP="68F2A381">
      <w:pPr>
        <w:spacing w:after="0" w:line="240" w:lineRule="auto"/>
        <w:ind w:left="708" w:hanging="708"/>
        <w:rPr>
          <w:b/>
          <w:bCs/>
          <w:lang w:val="es-ES"/>
        </w:rPr>
      </w:pPr>
    </w:p>
    <w:p w14:paraId="6210ABEA" w14:textId="77777777" w:rsidR="007102BB" w:rsidRPr="00DD7470" w:rsidRDefault="007102BB"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0630F414" w:rsidR="00A202C6" w:rsidRPr="00DD7470" w:rsidRDefault="00F71A4F" w:rsidP="00F71A4F">
      <w:pPr>
        <w:pStyle w:val="Heading1"/>
        <w:rPr>
          <w:rFonts w:ascii="Verdana" w:eastAsia="Verdana" w:hAnsi="Verdana" w:cs="Verdana"/>
          <w:b/>
          <w:bCs/>
          <w:color w:val="auto"/>
          <w:sz w:val="22"/>
          <w:szCs w:val="22"/>
          <w:lang w:val="es-ES"/>
        </w:rPr>
      </w:pPr>
      <w:bookmarkStart w:id="0" w:name="_Toc224726464"/>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5BA80D33" w14:textId="77777777" w:rsidR="001237B1" w:rsidRDefault="001237B1" w:rsidP="007D4EE7">
      <w:pPr>
        <w:spacing w:after="0" w:line="240" w:lineRule="auto"/>
        <w:jc w:val="both"/>
        <w:rPr>
          <w:rFonts w:ascii="Verdana" w:hAnsi="Verdana"/>
        </w:rPr>
      </w:pPr>
      <w:bookmarkStart w:id="1" w:name="_Hlk210208185"/>
    </w:p>
    <w:p w14:paraId="003E1735" w14:textId="07B35326" w:rsidR="001237B1" w:rsidRDefault="001237B1" w:rsidP="007D4EE7">
      <w:pPr>
        <w:spacing w:after="0" w:line="240" w:lineRule="auto"/>
        <w:jc w:val="both"/>
        <w:rPr>
          <w:rFonts w:ascii="Verdana" w:hAnsi="Verdana"/>
        </w:rPr>
      </w:pPr>
      <w:r w:rsidRPr="001237B1">
        <w:rPr>
          <w:rFonts w:ascii="Verdana" w:hAnsi="Verdana"/>
        </w:rPr>
        <w:t>Establecer las actividades que deberán realizarse para elaborar las conciliaciones de los bancos del Ministerio de Comercio, Industria y Turismo – MinCIT, con el objeto de identificar las diferencias de los saldos del auxiliar contable de bancos del SIIF Nación contrastados con los del extracto bancario.</w:t>
      </w:r>
    </w:p>
    <w:p w14:paraId="03FFA302" w14:textId="1D60B8C0" w:rsidR="00F71A4F" w:rsidRPr="00DD7470" w:rsidRDefault="00F71A4F" w:rsidP="00F71A4F">
      <w:pPr>
        <w:pStyle w:val="Heading1"/>
        <w:rPr>
          <w:rFonts w:ascii="Verdana" w:eastAsia="Verdana" w:hAnsi="Verdana" w:cs="Verdana"/>
          <w:b/>
          <w:bCs/>
          <w:color w:val="auto"/>
          <w:sz w:val="22"/>
          <w:szCs w:val="22"/>
          <w:lang w:val="es-ES"/>
        </w:rPr>
      </w:pPr>
      <w:bookmarkStart w:id="2" w:name="_Toc224726465"/>
      <w:bookmarkEnd w:id="1"/>
      <w:r>
        <w:rPr>
          <w:rFonts w:ascii="Verdana" w:eastAsia="Verdana" w:hAnsi="Verdana" w:cs="Verdana"/>
          <w:b/>
          <w:bCs/>
          <w:color w:val="auto"/>
          <w:sz w:val="22"/>
          <w:szCs w:val="22"/>
        </w:rPr>
        <w:t>2. ALCANCE</w:t>
      </w:r>
      <w:bookmarkEnd w:id="2"/>
    </w:p>
    <w:p w14:paraId="7CD59077" w14:textId="1EF74FB6" w:rsidR="005C6A45" w:rsidRDefault="005C6A45" w:rsidP="007D4EE7">
      <w:pPr>
        <w:spacing w:after="0" w:line="240" w:lineRule="auto"/>
        <w:jc w:val="both"/>
        <w:rPr>
          <w:rFonts w:ascii="Verdana" w:hAnsi="Verdana"/>
        </w:rPr>
      </w:pPr>
    </w:p>
    <w:p w14:paraId="19EC5A92" w14:textId="7725FDF4" w:rsidR="007B22C4" w:rsidRDefault="007B22C4" w:rsidP="008E0039">
      <w:pPr>
        <w:spacing w:after="0" w:line="240" w:lineRule="auto"/>
        <w:jc w:val="both"/>
        <w:rPr>
          <w:rFonts w:ascii="Verdana" w:hAnsi="Verdana"/>
        </w:rPr>
      </w:pPr>
      <w:r w:rsidRPr="007B22C4">
        <w:rPr>
          <w:rFonts w:ascii="Verdana" w:hAnsi="Verdana"/>
        </w:rPr>
        <w:t>Aplica al proceso de gestión de recursos financieros, inicia con la recepción de los extractos</w:t>
      </w:r>
      <w:r>
        <w:rPr>
          <w:rFonts w:ascii="Verdana" w:hAnsi="Verdana"/>
        </w:rPr>
        <w:t xml:space="preserve"> </w:t>
      </w:r>
      <w:r w:rsidRPr="007B22C4">
        <w:rPr>
          <w:rFonts w:ascii="Verdana" w:hAnsi="Verdana"/>
        </w:rPr>
        <w:t>bancarios por parte del Grupo de Tesorería y con la generación del reporte auxiliar contable de bancos del SIIF Nación y finaliza con el diligenciamiento del formato de conciliación. Para los cuentadantes de Cajas Menores, inicia con el extracto bancario de la cuenta bancaria asignada versus los informes generados en el módulo dispuesto en el SIIF Nación y termina de igual forma con el diligenciamiento del formato de conciliación.</w:t>
      </w:r>
    </w:p>
    <w:p w14:paraId="1B505DBA" w14:textId="77777777" w:rsidR="007B22C4" w:rsidRDefault="007B22C4" w:rsidP="007D4EE7">
      <w:pPr>
        <w:spacing w:after="0" w:line="240" w:lineRule="auto"/>
        <w:jc w:val="both"/>
        <w:rPr>
          <w:rFonts w:ascii="Verdana" w:hAnsi="Verdana"/>
        </w:rPr>
      </w:pPr>
    </w:p>
    <w:p w14:paraId="301BC8C7" w14:textId="57DF15A1" w:rsidR="00F71A4F" w:rsidRPr="00DD7470" w:rsidRDefault="00F71A4F" w:rsidP="00F71A4F">
      <w:pPr>
        <w:pStyle w:val="Heading1"/>
        <w:rPr>
          <w:rFonts w:ascii="Verdana" w:eastAsia="Verdana" w:hAnsi="Verdana" w:cs="Verdana"/>
          <w:b/>
          <w:bCs/>
          <w:color w:val="auto"/>
          <w:sz w:val="22"/>
          <w:szCs w:val="22"/>
          <w:lang w:val="es-ES"/>
        </w:rPr>
      </w:pPr>
      <w:bookmarkStart w:id="3" w:name="_Toc224726466"/>
      <w:r>
        <w:rPr>
          <w:rFonts w:ascii="Verdana" w:eastAsia="Verdana" w:hAnsi="Verdana" w:cs="Verdana"/>
          <w:b/>
          <w:bCs/>
          <w:color w:val="auto"/>
          <w:sz w:val="22"/>
          <w:szCs w:val="22"/>
        </w:rPr>
        <w:t>3. DEFINICIONES</w:t>
      </w:r>
      <w:bookmarkEnd w:id="3"/>
    </w:p>
    <w:p w14:paraId="79543DF7" w14:textId="77777777" w:rsidR="00F71A4F" w:rsidRDefault="00F71A4F" w:rsidP="00F71A4F">
      <w:pPr>
        <w:spacing w:after="0" w:line="240" w:lineRule="auto"/>
        <w:jc w:val="both"/>
        <w:rPr>
          <w:rFonts w:ascii="Verdana" w:eastAsia="Verdana" w:hAnsi="Verdana" w:cs="Verdana"/>
        </w:rPr>
      </w:pPr>
    </w:p>
    <w:p w14:paraId="7FD8FDBC" w14:textId="190F23A7" w:rsidR="005676D6" w:rsidRDefault="005676D6" w:rsidP="005676D6">
      <w:pPr>
        <w:spacing w:after="0" w:line="240" w:lineRule="auto"/>
        <w:jc w:val="both"/>
        <w:rPr>
          <w:rFonts w:ascii="Verdana" w:eastAsia="Verdana" w:hAnsi="Verdana" w:cs="Verdana"/>
        </w:rPr>
      </w:pPr>
      <w:r w:rsidRPr="005676D6">
        <w:rPr>
          <w:rFonts w:ascii="Verdana" w:eastAsia="Verdana" w:hAnsi="Verdana" w:cs="Verdana"/>
          <w:b/>
          <w:bCs/>
        </w:rPr>
        <w:t>BANCO:</w:t>
      </w:r>
      <w:r w:rsidRPr="005676D6">
        <w:rPr>
          <w:rFonts w:ascii="Verdana" w:eastAsia="Verdana" w:hAnsi="Verdana" w:cs="Verdana"/>
        </w:rPr>
        <w:t xml:space="preserve"> nombre de la entidad financiera de la cual se elaborará la conciliación bancaria. </w:t>
      </w:r>
    </w:p>
    <w:p w14:paraId="6CBC018F" w14:textId="77777777" w:rsidR="005676D6" w:rsidRDefault="005676D6" w:rsidP="005676D6">
      <w:pPr>
        <w:spacing w:after="0" w:line="240" w:lineRule="auto"/>
        <w:jc w:val="both"/>
        <w:rPr>
          <w:rFonts w:ascii="Verdana" w:eastAsia="Verdana" w:hAnsi="Verdana" w:cs="Verdana"/>
        </w:rPr>
      </w:pPr>
    </w:p>
    <w:p w14:paraId="7A4BB6A3" w14:textId="6171469A" w:rsidR="005676D6" w:rsidRDefault="005676D6" w:rsidP="005676D6">
      <w:pPr>
        <w:spacing w:after="0" w:line="240" w:lineRule="auto"/>
        <w:jc w:val="both"/>
        <w:rPr>
          <w:rFonts w:ascii="Verdana" w:eastAsia="Verdana" w:hAnsi="Verdana" w:cs="Verdana"/>
        </w:rPr>
      </w:pPr>
      <w:r w:rsidRPr="005676D6">
        <w:rPr>
          <w:rFonts w:ascii="Verdana" w:eastAsia="Verdana" w:hAnsi="Verdana" w:cs="Verdana"/>
          <w:b/>
          <w:bCs/>
        </w:rPr>
        <w:t>CONCILIACIÓN BANCARIA:</w:t>
      </w:r>
      <w:r w:rsidRPr="005676D6">
        <w:rPr>
          <w:rFonts w:ascii="Verdana" w:eastAsia="Verdana" w:hAnsi="Verdana" w:cs="Verdana"/>
        </w:rPr>
        <w:t xml:space="preserve"> Proceso de comparar los saldos de bancos en los auxiliares contables frente a los del extracto bancario. </w:t>
      </w:r>
    </w:p>
    <w:p w14:paraId="3C42E7B8" w14:textId="77777777" w:rsidR="005676D6" w:rsidRDefault="005676D6" w:rsidP="005676D6">
      <w:pPr>
        <w:spacing w:after="0" w:line="240" w:lineRule="auto"/>
        <w:jc w:val="both"/>
        <w:rPr>
          <w:rFonts w:ascii="Verdana" w:eastAsia="Verdana" w:hAnsi="Verdana" w:cs="Verdana"/>
        </w:rPr>
      </w:pPr>
    </w:p>
    <w:p w14:paraId="039AECA9" w14:textId="2558AE83" w:rsidR="005676D6" w:rsidRDefault="005676D6" w:rsidP="005676D6">
      <w:pPr>
        <w:spacing w:after="0" w:line="240" w:lineRule="auto"/>
        <w:jc w:val="both"/>
        <w:rPr>
          <w:rFonts w:ascii="Verdana" w:eastAsia="Verdana" w:hAnsi="Verdana" w:cs="Verdana"/>
        </w:rPr>
      </w:pPr>
      <w:r w:rsidRPr="005676D6">
        <w:rPr>
          <w:rFonts w:ascii="Verdana" w:eastAsia="Verdana" w:hAnsi="Verdana" w:cs="Verdana"/>
          <w:b/>
          <w:bCs/>
        </w:rPr>
        <w:t>CUENTA BANCARIA NO:</w:t>
      </w:r>
      <w:r w:rsidRPr="005676D6">
        <w:rPr>
          <w:rFonts w:ascii="Verdana" w:eastAsia="Verdana" w:hAnsi="Verdana" w:cs="Verdana"/>
        </w:rPr>
        <w:t xml:space="preserve"> Es el numero de la cuenta bancaria de la entidad financiera a conciliar. </w:t>
      </w:r>
    </w:p>
    <w:p w14:paraId="65267DAA" w14:textId="77777777" w:rsidR="005676D6" w:rsidRDefault="005676D6" w:rsidP="005676D6">
      <w:pPr>
        <w:spacing w:after="0" w:line="240" w:lineRule="auto"/>
        <w:jc w:val="both"/>
        <w:rPr>
          <w:rFonts w:ascii="Verdana" w:eastAsia="Verdana" w:hAnsi="Verdana" w:cs="Verdana"/>
        </w:rPr>
      </w:pPr>
    </w:p>
    <w:p w14:paraId="456C5702" w14:textId="3CC7A26A" w:rsidR="005676D6" w:rsidRDefault="005676D6" w:rsidP="005676D6">
      <w:pPr>
        <w:spacing w:after="0" w:line="240" w:lineRule="auto"/>
        <w:jc w:val="both"/>
        <w:rPr>
          <w:rFonts w:ascii="Verdana" w:eastAsia="Verdana" w:hAnsi="Verdana" w:cs="Verdana"/>
        </w:rPr>
      </w:pPr>
      <w:r w:rsidRPr="005676D6">
        <w:rPr>
          <w:rFonts w:ascii="Verdana" w:eastAsia="Verdana" w:hAnsi="Verdana" w:cs="Verdana"/>
          <w:b/>
          <w:bCs/>
        </w:rPr>
        <w:t>EXTRACTO BANCARIO:</w:t>
      </w:r>
      <w:r w:rsidRPr="005676D6">
        <w:rPr>
          <w:rFonts w:ascii="Verdana" w:eastAsia="Verdana" w:hAnsi="Verdana" w:cs="Verdana"/>
        </w:rPr>
        <w:t xml:space="preserve"> documento en el que el banco informa los movimientos y el saldo de la cuenta bancaria correspondiente en un periodo determinado. </w:t>
      </w:r>
    </w:p>
    <w:p w14:paraId="477D0482" w14:textId="77777777" w:rsidR="005676D6" w:rsidRDefault="005676D6" w:rsidP="005676D6">
      <w:pPr>
        <w:spacing w:after="0" w:line="240" w:lineRule="auto"/>
        <w:jc w:val="both"/>
        <w:rPr>
          <w:rFonts w:ascii="Verdana" w:eastAsia="Verdana" w:hAnsi="Verdana" w:cs="Verdana"/>
        </w:rPr>
      </w:pPr>
    </w:p>
    <w:p w14:paraId="28ED80DA" w14:textId="771F0EC8" w:rsidR="005676D6" w:rsidRDefault="005676D6" w:rsidP="005676D6">
      <w:pPr>
        <w:spacing w:after="0" w:line="240" w:lineRule="auto"/>
        <w:jc w:val="both"/>
        <w:rPr>
          <w:rFonts w:ascii="Verdana" w:eastAsia="Verdana" w:hAnsi="Verdana" w:cs="Verdana"/>
        </w:rPr>
      </w:pPr>
      <w:r w:rsidRPr="005676D6">
        <w:rPr>
          <w:rFonts w:ascii="Verdana" w:eastAsia="Verdana" w:hAnsi="Verdana" w:cs="Verdana"/>
          <w:b/>
          <w:bCs/>
        </w:rPr>
        <w:t>MES Y AÑO:</w:t>
      </w:r>
      <w:r w:rsidRPr="005676D6">
        <w:rPr>
          <w:rFonts w:ascii="Verdana" w:eastAsia="Verdana" w:hAnsi="Verdana" w:cs="Verdana"/>
        </w:rPr>
        <w:t xml:space="preserve"> Hace referencia al periodo de corte del cual se realiza la conciliación. </w:t>
      </w:r>
    </w:p>
    <w:p w14:paraId="35CAC1E4" w14:textId="77777777" w:rsidR="005676D6" w:rsidRDefault="005676D6" w:rsidP="005676D6">
      <w:pPr>
        <w:spacing w:after="0" w:line="240" w:lineRule="auto"/>
        <w:jc w:val="both"/>
        <w:rPr>
          <w:rFonts w:ascii="Verdana" w:eastAsia="Verdana" w:hAnsi="Verdana" w:cs="Verdana"/>
        </w:rPr>
      </w:pPr>
    </w:p>
    <w:p w14:paraId="6119F372" w14:textId="7AB342A4" w:rsidR="005676D6" w:rsidRDefault="005676D6" w:rsidP="005676D6">
      <w:pPr>
        <w:spacing w:after="0" w:line="240" w:lineRule="auto"/>
        <w:jc w:val="both"/>
        <w:rPr>
          <w:rFonts w:ascii="Verdana" w:eastAsia="Verdana" w:hAnsi="Verdana" w:cs="Verdana"/>
        </w:rPr>
      </w:pPr>
      <w:r w:rsidRPr="005676D6">
        <w:rPr>
          <w:rFonts w:ascii="Verdana" w:eastAsia="Verdana" w:hAnsi="Verdana" w:cs="Verdana"/>
          <w:b/>
          <w:bCs/>
        </w:rPr>
        <w:t>NOMBRE DE LA CUENTA:</w:t>
      </w:r>
      <w:r w:rsidRPr="005676D6">
        <w:rPr>
          <w:rFonts w:ascii="Verdana" w:eastAsia="Verdana" w:hAnsi="Verdana" w:cs="Verdana"/>
        </w:rPr>
        <w:t xml:space="preserve"> Es la descripción interna que se tiene de la cuenta bancaria a conciliar. </w:t>
      </w:r>
    </w:p>
    <w:p w14:paraId="1E2234A5" w14:textId="77777777" w:rsidR="005676D6" w:rsidRDefault="005676D6" w:rsidP="005676D6">
      <w:pPr>
        <w:spacing w:after="0" w:line="240" w:lineRule="auto"/>
        <w:jc w:val="both"/>
        <w:rPr>
          <w:rFonts w:ascii="Verdana" w:eastAsia="Verdana" w:hAnsi="Verdana" w:cs="Verdana"/>
        </w:rPr>
      </w:pPr>
    </w:p>
    <w:p w14:paraId="4DB5BA77" w14:textId="41E36434" w:rsidR="00077C8D" w:rsidRDefault="005676D6" w:rsidP="005676D6">
      <w:pPr>
        <w:spacing w:after="0" w:line="240" w:lineRule="auto"/>
        <w:jc w:val="both"/>
        <w:rPr>
          <w:rFonts w:ascii="Verdana" w:eastAsia="Verdana" w:hAnsi="Verdana" w:cs="Verdana"/>
        </w:rPr>
      </w:pPr>
      <w:r w:rsidRPr="005676D6">
        <w:rPr>
          <w:rFonts w:ascii="Verdana" w:eastAsia="Verdana" w:hAnsi="Verdana" w:cs="Verdana"/>
          <w:b/>
          <w:bCs/>
        </w:rPr>
        <w:t>PARTIDAS CONCILIATORIAS:</w:t>
      </w:r>
      <w:r w:rsidRPr="005676D6">
        <w:rPr>
          <w:rFonts w:ascii="Verdana" w:eastAsia="Verdana" w:hAnsi="Verdana" w:cs="Verdana"/>
        </w:rPr>
        <w:t xml:space="preserve"> cifras en libros o en extracto bancario que no se pueden conciliar y sobre los cuales se debe adelantar una labor de depuración, hasta llegar a su identificación.</w:t>
      </w:r>
    </w:p>
    <w:p w14:paraId="0B7AC352" w14:textId="77777777" w:rsidR="005676D6" w:rsidRDefault="005676D6" w:rsidP="005676D6">
      <w:pPr>
        <w:spacing w:after="0" w:line="240" w:lineRule="auto"/>
        <w:jc w:val="both"/>
        <w:rPr>
          <w:rFonts w:ascii="Verdana" w:eastAsia="Verdana" w:hAnsi="Verdana" w:cs="Verdana"/>
        </w:rPr>
      </w:pPr>
    </w:p>
    <w:p w14:paraId="2D6892AC" w14:textId="18EB704E" w:rsidR="00CD5544" w:rsidRDefault="00CD5544" w:rsidP="005676D6">
      <w:pPr>
        <w:spacing w:after="0" w:line="240" w:lineRule="auto"/>
        <w:jc w:val="both"/>
        <w:rPr>
          <w:rFonts w:ascii="Verdana" w:eastAsia="Verdana" w:hAnsi="Verdana" w:cs="Verdana"/>
        </w:rPr>
      </w:pPr>
      <w:r w:rsidRPr="00CD5544">
        <w:rPr>
          <w:rFonts w:ascii="Verdana" w:eastAsia="Verdana" w:hAnsi="Verdana" w:cs="Verdana"/>
          <w:b/>
          <w:bCs/>
        </w:rPr>
        <w:t>REPORTE AUXILIAR CONTABLE POR CUENTA BANCARIA DE SIIF NACIÓN:</w:t>
      </w:r>
      <w:r w:rsidRPr="00CD5544">
        <w:rPr>
          <w:rFonts w:ascii="Verdana" w:eastAsia="Verdana" w:hAnsi="Verdana" w:cs="Verdana"/>
        </w:rPr>
        <w:t xml:space="preserve"> En este se registran saldo anterior, los movimientos débitos y créditos, saldo final por cada cuenta del MinCIT. </w:t>
      </w:r>
    </w:p>
    <w:p w14:paraId="7CE5A266" w14:textId="77777777" w:rsidR="00CD5544" w:rsidRDefault="00CD5544" w:rsidP="005676D6">
      <w:pPr>
        <w:spacing w:after="0" w:line="240" w:lineRule="auto"/>
        <w:jc w:val="both"/>
        <w:rPr>
          <w:rFonts w:ascii="Verdana" w:eastAsia="Verdana" w:hAnsi="Verdana" w:cs="Verdana"/>
        </w:rPr>
      </w:pPr>
    </w:p>
    <w:p w14:paraId="7573D0CA" w14:textId="1E5FA674" w:rsidR="007D4EE7" w:rsidRDefault="00CD5544" w:rsidP="00F71A4F">
      <w:pPr>
        <w:spacing w:after="0" w:line="240" w:lineRule="auto"/>
        <w:jc w:val="both"/>
        <w:rPr>
          <w:rFonts w:ascii="Verdana" w:eastAsia="Verdana" w:hAnsi="Verdana" w:cs="Verdana"/>
        </w:rPr>
      </w:pPr>
      <w:r w:rsidRPr="00CD5544">
        <w:rPr>
          <w:rFonts w:ascii="Verdana" w:eastAsia="Verdana" w:hAnsi="Verdana" w:cs="Verdana"/>
          <w:b/>
          <w:bCs/>
        </w:rPr>
        <w:t>UNIDAD EJECUTORA:</w:t>
      </w:r>
      <w:r w:rsidRPr="00CD5544">
        <w:rPr>
          <w:rFonts w:ascii="Verdana" w:eastAsia="Verdana" w:hAnsi="Verdana" w:cs="Verdana"/>
        </w:rPr>
        <w:t xml:space="preserve"> Corresponde a la subunidad o unidad establecida en el SIIF Nación para el MinCIT por la cual se conciliará</w:t>
      </w:r>
    </w:p>
    <w:p w14:paraId="7BB5C987" w14:textId="626FF9CD" w:rsidR="007D4EE7" w:rsidRDefault="00F71A4F" w:rsidP="007D4EE7">
      <w:pPr>
        <w:pStyle w:val="Heading1"/>
        <w:rPr>
          <w:rFonts w:ascii="Verdana" w:eastAsia="Verdana" w:hAnsi="Verdana"/>
          <w:b/>
          <w:bCs/>
          <w:color w:val="auto"/>
          <w:sz w:val="22"/>
          <w:szCs w:val="22"/>
        </w:rPr>
      </w:pPr>
      <w:bookmarkStart w:id="4" w:name="_Toc224726467"/>
      <w:r w:rsidRPr="009F6E54">
        <w:rPr>
          <w:rFonts w:ascii="Verdana" w:eastAsia="Verdana" w:hAnsi="Verdana"/>
          <w:b/>
          <w:bCs/>
          <w:color w:val="auto"/>
          <w:sz w:val="22"/>
          <w:szCs w:val="22"/>
        </w:rPr>
        <w:lastRenderedPageBreak/>
        <w:t xml:space="preserve">4. </w:t>
      </w:r>
      <w:r w:rsidR="00147247">
        <w:rPr>
          <w:rFonts w:ascii="Verdana" w:eastAsia="Verdana" w:hAnsi="Verdana"/>
          <w:b/>
          <w:bCs/>
          <w:color w:val="auto"/>
          <w:sz w:val="22"/>
          <w:szCs w:val="22"/>
        </w:rPr>
        <w:t>CONDICIONES GENERALES</w:t>
      </w:r>
      <w:bookmarkEnd w:id="4"/>
    </w:p>
    <w:p w14:paraId="71314E9B" w14:textId="2DD869AB" w:rsidR="00450AF4" w:rsidRPr="0015434E" w:rsidRDefault="00445FD6" w:rsidP="0015434E">
      <w:pPr>
        <w:pStyle w:val="Heading2"/>
        <w:rPr>
          <w:rFonts w:ascii="Verdana" w:hAnsi="Verdana"/>
          <w:b/>
          <w:bCs/>
          <w:color w:val="auto"/>
          <w:sz w:val="24"/>
          <w:szCs w:val="24"/>
        </w:rPr>
      </w:pPr>
      <w:bookmarkStart w:id="5" w:name="_Toc224726468"/>
      <w:r w:rsidRPr="0015434E">
        <w:rPr>
          <w:rFonts w:ascii="Verdana" w:hAnsi="Verdana"/>
          <w:b/>
          <w:bCs/>
          <w:color w:val="auto"/>
          <w:sz w:val="24"/>
          <w:szCs w:val="24"/>
        </w:rPr>
        <w:t>4.1 NORMATIVIDAD</w:t>
      </w:r>
      <w:bookmarkEnd w:id="5"/>
      <w:r w:rsidR="005F1FDA" w:rsidRPr="0015434E">
        <w:rPr>
          <w:rFonts w:ascii="Verdana" w:hAnsi="Verdana"/>
          <w:b/>
          <w:bCs/>
          <w:color w:val="auto"/>
          <w:sz w:val="24"/>
          <w:szCs w:val="24"/>
        </w:rPr>
        <w:t xml:space="preserve"> </w:t>
      </w:r>
    </w:p>
    <w:p w14:paraId="45201B04" w14:textId="16F11F13" w:rsidR="00CD5544" w:rsidRPr="00BF5DD4" w:rsidRDefault="00445FD6" w:rsidP="00CD5544">
      <w:pPr>
        <w:jc w:val="both"/>
        <w:rPr>
          <w:rFonts w:ascii="Verdana" w:hAnsi="Verdana"/>
        </w:rPr>
      </w:pPr>
      <w:r w:rsidRPr="00445FD6">
        <w:rPr>
          <w:rFonts w:ascii="Verdana" w:hAnsi="Verdana"/>
        </w:rPr>
        <w:t>La "GUIA PARA LA ELABORACIÓN DE CONCILIACIONES BANCARIAS" se formaliza en el MinCIT, en cumplimiento de lo establecido en las Políticas de operación Contable del Ministerio.</w:t>
      </w:r>
    </w:p>
    <w:p w14:paraId="71CF25F1" w14:textId="62B80195" w:rsidR="007D4EE7" w:rsidRPr="005B5DC6" w:rsidRDefault="007D4EE7" w:rsidP="007D4EE7">
      <w:pPr>
        <w:pStyle w:val="Heading1"/>
        <w:rPr>
          <w:rFonts w:ascii="Verdana" w:eastAsia="Verdana" w:hAnsi="Verdana" w:cs="Verdana"/>
          <w:b/>
          <w:bCs/>
          <w:color w:val="auto"/>
          <w:sz w:val="22"/>
          <w:szCs w:val="22"/>
        </w:rPr>
      </w:pPr>
      <w:bookmarkStart w:id="6" w:name="_Toc224726469"/>
      <w:r>
        <w:rPr>
          <w:rFonts w:ascii="Verdana" w:eastAsia="Verdana" w:hAnsi="Verdana" w:cs="Verdana"/>
          <w:b/>
          <w:bCs/>
          <w:color w:val="auto"/>
          <w:sz w:val="22"/>
          <w:szCs w:val="22"/>
        </w:rPr>
        <w:t>5. DESARROLLO</w:t>
      </w:r>
      <w:bookmarkEnd w:id="6"/>
    </w:p>
    <w:p w14:paraId="6065E6A2" w14:textId="43A80FEC" w:rsidR="007D4EE7" w:rsidRDefault="007D4EE7" w:rsidP="00450AF4">
      <w:pPr>
        <w:spacing w:after="0" w:line="240" w:lineRule="auto"/>
        <w:jc w:val="both"/>
        <w:rPr>
          <w:rFonts w:ascii="Verdana" w:hAnsi="Verdana"/>
          <w:lang w:eastAsia="es-CO"/>
        </w:rPr>
      </w:pPr>
      <w:r w:rsidRPr="002D4C0E">
        <w:rPr>
          <w:rFonts w:ascii="Verdana" w:hAnsi="Verdana"/>
          <w:lang w:eastAsia="es-CO"/>
        </w:rPr>
        <w:t xml:space="preserve"> </w:t>
      </w:r>
    </w:p>
    <w:p w14:paraId="7B8CFC84" w14:textId="795B935D" w:rsidR="009F6E54" w:rsidRDefault="00DE418C" w:rsidP="00B02E60">
      <w:pPr>
        <w:spacing w:after="0" w:line="240" w:lineRule="auto"/>
        <w:jc w:val="both"/>
        <w:rPr>
          <w:rFonts w:ascii="Verdana" w:hAnsi="Verdana"/>
        </w:rPr>
      </w:pPr>
      <w:r w:rsidRPr="00CE77E6">
        <w:rPr>
          <w:rFonts w:ascii="Verdana" w:hAnsi="Verdana"/>
          <w:b/>
          <w:bCs/>
        </w:rPr>
        <w:t xml:space="preserve">5.1 </w:t>
      </w:r>
      <w:r w:rsidR="00B02E60" w:rsidRPr="00CE77E6">
        <w:rPr>
          <w:rFonts w:ascii="Verdana" w:hAnsi="Verdana"/>
          <w:b/>
          <w:bCs/>
        </w:rPr>
        <w:t>Recepción documentos:</w:t>
      </w:r>
      <w:r w:rsidR="00B02E60" w:rsidRPr="00B02E60">
        <w:rPr>
          <w:rFonts w:ascii="Verdana" w:hAnsi="Verdana"/>
        </w:rPr>
        <w:t xml:space="preserve"> El(la) profesional encargado(a) del grupo de</w:t>
      </w:r>
      <w:r w:rsidR="00B02E60">
        <w:rPr>
          <w:rFonts w:ascii="Verdana" w:hAnsi="Verdana"/>
        </w:rPr>
        <w:t xml:space="preserve"> </w:t>
      </w:r>
      <w:r w:rsidR="00B02E60" w:rsidRPr="00B02E60">
        <w:rPr>
          <w:rFonts w:ascii="Verdana" w:hAnsi="Verdana"/>
        </w:rPr>
        <w:t>contabilidad recibe del grupo de Tesorería mensualmente y dentro de los 5 días</w:t>
      </w:r>
      <w:r w:rsidR="00B02E60">
        <w:rPr>
          <w:rFonts w:ascii="Verdana" w:hAnsi="Verdana"/>
        </w:rPr>
        <w:t xml:space="preserve"> </w:t>
      </w:r>
      <w:r w:rsidR="00B02E60" w:rsidRPr="00B02E60">
        <w:rPr>
          <w:rFonts w:ascii="Verdana" w:hAnsi="Verdana"/>
        </w:rPr>
        <w:t>hábiles siguientes a cada corte, los extractos de cada cuenta bancaria. En cajas</w:t>
      </w:r>
      <w:r w:rsidR="00B02E60">
        <w:rPr>
          <w:rFonts w:ascii="Verdana" w:hAnsi="Verdana"/>
        </w:rPr>
        <w:t xml:space="preserve"> </w:t>
      </w:r>
      <w:r w:rsidR="00B02E60" w:rsidRPr="00B02E60">
        <w:rPr>
          <w:rFonts w:ascii="Verdana" w:hAnsi="Verdana"/>
        </w:rPr>
        <w:t>menores, el(la) cuentadante obtiene el extracto bancario del banco.</w:t>
      </w:r>
    </w:p>
    <w:p w14:paraId="0572B332" w14:textId="77777777" w:rsidR="00B02E60" w:rsidRDefault="00B02E60" w:rsidP="00B02E60">
      <w:pPr>
        <w:spacing w:after="0" w:line="240" w:lineRule="auto"/>
        <w:jc w:val="both"/>
        <w:rPr>
          <w:rFonts w:ascii="Verdana" w:hAnsi="Verdana"/>
        </w:rPr>
      </w:pPr>
    </w:p>
    <w:p w14:paraId="151B05C3" w14:textId="77777777" w:rsidR="00F20ABF" w:rsidRDefault="00F20ABF" w:rsidP="00B02E60">
      <w:pPr>
        <w:spacing w:after="0" w:line="240" w:lineRule="auto"/>
        <w:jc w:val="both"/>
        <w:rPr>
          <w:rFonts w:ascii="Verdana" w:hAnsi="Verdana"/>
        </w:rPr>
      </w:pPr>
      <w:r w:rsidRPr="00CE77E6">
        <w:rPr>
          <w:rFonts w:ascii="Verdana" w:hAnsi="Verdana"/>
          <w:b/>
          <w:bCs/>
        </w:rPr>
        <w:t>5.2. Análisis y registro de la Información:</w:t>
      </w:r>
      <w:r w:rsidRPr="00F20ABF">
        <w:rPr>
          <w:rFonts w:ascii="Verdana" w:hAnsi="Verdana"/>
        </w:rPr>
        <w:t xml:space="preserve"> El(la) profesional encargado(a) del grupo de contabilidad descarga del aplicativo SIIF Nación el auxiliar contable por cada cuenta bancaria y procede a comparar los saldos contra cada uno de los extractos recibidos. En cajas menores, el(la) cuentadante genera el informe del módulo de cajas menores. </w:t>
      </w:r>
    </w:p>
    <w:p w14:paraId="716EE7AA" w14:textId="77777777" w:rsidR="00F20ABF" w:rsidRDefault="00F20ABF" w:rsidP="00B02E60">
      <w:pPr>
        <w:spacing w:after="0" w:line="240" w:lineRule="auto"/>
        <w:jc w:val="both"/>
        <w:rPr>
          <w:rFonts w:ascii="Verdana" w:hAnsi="Verdana"/>
        </w:rPr>
      </w:pPr>
    </w:p>
    <w:p w14:paraId="77640740" w14:textId="77777777" w:rsidR="00F20ABF" w:rsidRDefault="00F20ABF" w:rsidP="00B02E60">
      <w:pPr>
        <w:spacing w:after="0" w:line="240" w:lineRule="auto"/>
        <w:jc w:val="both"/>
        <w:rPr>
          <w:rFonts w:ascii="Verdana" w:hAnsi="Verdana"/>
        </w:rPr>
      </w:pPr>
      <w:r w:rsidRPr="00F20ABF">
        <w:rPr>
          <w:rFonts w:ascii="Verdana" w:hAnsi="Verdana"/>
        </w:rPr>
        <w:t xml:space="preserve">En caso de presentar diferencias en alguna de las cuentas respecto a su extracto, se procede a revisar el movimiento del auxiliar contable, tanto de los débitos y créditos por fecha y valor para verificar que estén registrados de la misma manera que están reportados en el extracto bancario, la diferencia resultante se valida con el grupo de tesorería con el fin de verificar con los pagos lo correspondiente a menores o mayores valores pagados. </w:t>
      </w:r>
    </w:p>
    <w:p w14:paraId="1A2FC7F6" w14:textId="77777777" w:rsidR="00F20ABF" w:rsidRDefault="00F20ABF" w:rsidP="00B02E60">
      <w:pPr>
        <w:spacing w:after="0" w:line="240" w:lineRule="auto"/>
        <w:jc w:val="both"/>
        <w:rPr>
          <w:rFonts w:ascii="Verdana" w:hAnsi="Verdana"/>
        </w:rPr>
      </w:pPr>
    </w:p>
    <w:p w14:paraId="71CEAA91" w14:textId="3C5CDCF7" w:rsidR="00B02E60" w:rsidRDefault="00F20ABF" w:rsidP="00B02E60">
      <w:pPr>
        <w:spacing w:after="0" w:line="240" w:lineRule="auto"/>
        <w:jc w:val="both"/>
        <w:rPr>
          <w:rFonts w:ascii="Verdana" w:hAnsi="Verdana"/>
        </w:rPr>
      </w:pPr>
      <w:r w:rsidRPr="00F20ABF">
        <w:rPr>
          <w:rFonts w:ascii="Verdana" w:hAnsi="Verdana"/>
        </w:rPr>
        <w:t>Para las diferencias en cajas menores, se detallan en el formato GR-FM-0</w:t>
      </w:r>
      <w:r w:rsidR="003013A2">
        <w:rPr>
          <w:rFonts w:ascii="Verdana" w:hAnsi="Verdana"/>
        </w:rPr>
        <w:t>28</w:t>
      </w:r>
      <w:r w:rsidRPr="00F20ABF">
        <w:rPr>
          <w:rFonts w:ascii="Verdana" w:hAnsi="Verdana"/>
        </w:rPr>
        <w:t xml:space="preserve"> – Conciliación Bancaria.</w:t>
      </w:r>
    </w:p>
    <w:p w14:paraId="7C3462C2" w14:textId="77777777" w:rsidR="003013A2" w:rsidRDefault="003013A2" w:rsidP="00B02E60">
      <w:pPr>
        <w:spacing w:after="0" w:line="240" w:lineRule="auto"/>
        <w:jc w:val="both"/>
        <w:rPr>
          <w:rFonts w:ascii="Verdana" w:hAnsi="Verdana"/>
        </w:rPr>
      </w:pPr>
    </w:p>
    <w:p w14:paraId="0534FC61" w14:textId="5E43C235" w:rsidR="003013A2" w:rsidRDefault="00CD4E3D" w:rsidP="00B02E60">
      <w:pPr>
        <w:spacing w:after="0" w:line="240" w:lineRule="auto"/>
        <w:jc w:val="both"/>
        <w:rPr>
          <w:rFonts w:ascii="Verdana" w:hAnsi="Verdana"/>
        </w:rPr>
      </w:pPr>
      <w:r w:rsidRPr="00CE77E6">
        <w:rPr>
          <w:rFonts w:ascii="Verdana" w:hAnsi="Verdana"/>
          <w:b/>
          <w:bCs/>
        </w:rPr>
        <w:t>5.3. Registro contable:</w:t>
      </w:r>
      <w:r w:rsidRPr="00CD4E3D">
        <w:rPr>
          <w:rFonts w:ascii="Verdana" w:hAnsi="Verdana"/>
        </w:rPr>
        <w:t xml:space="preserve"> El(la) profesional encargado(a) del grupo de contabilidad reconoce los traslados entre cuentas bancarias presentados durante el mes a conciliar según los extractos bancarios y registra manualmente el movimiento de la cuenta bancaria </w:t>
      </w:r>
      <w:proofErr w:type="spellStart"/>
      <w:r w:rsidRPr="00CD4E3D">
        <w:rPr>
          <w:rFonts w:ascii="Verdana" w:hAnsi="Verdana"/>
        </w:rPr>
        <w:t>N°</w:t>
      </w:r>
      <w:proofErr w:type="spellEnd"/>
      <w:r w:rsidRPr="00CD4E3D">
        <w:rPr>
          <w:rFonts w:ascii="Verdana" w:hAnsi="Verdana"/>
        </w:rPr>
        <w:t xml:space="preserve"> 300700004983 perteneciente al Banco Agrario. Las consignaciones pendientes de identificar las contabiliza en la subcuenta 240720001, denominada “recaudos por clasificar”</w:t>
      </w:r>
      <w:r>
        <w:rPr>
          <w:rFonts w:ascii="Verdana" w:hAnsi="Verdana"/>
        </w:rPr>
        <w:t>.</w:t>
      </w:r>
    </w:p>
    <w:p w14:paraId="4F21FBE8" w14:textId="77777777" w:rsidR="00CD4E3D" w:rsidRDefault="00CD4E3D" w:rsidP="00B02E60">
      <w:pPr>
        <w:spacing w:after="0" w:line="240" w:lineRule="auto"/>
        <w:jc w:val="both"/>
        <w:rPr>
          <w:rFonts w:ascii="Verdana" w:hAnsi="Verdana"/>
        </w:rPr>
      </w:pPr>
    </w:p>
    <w:p w14:paraId="55C2D696" w14:textId="77777777" w:rsidR="00CD4E3D" w:rsidRDefault="00CD4E3D" w:rsidP="00B02E60">
      <w:pPr>
        <w:spacing w:after="0" w:line="240" w:lineRule="auto"/>
        <w:jc w:val="both"/>
        <w:rPr>
          <w:rFonts w:ascii="Verdana" w:hAnsi="Verdana"/>
        </w:rPr>
      </w:pPr>
      <w:r w:rsidRPr="00CD4E3D">
        <w:rPr>
          <w:rFonts w:ascii="Verdana" w:hAnsi="Verdana"/>
        </w:rPr>
        <w:t xml:space="preserve">En cajas menores, no se realizan movimientos manuales contables, por lo tanto, no aplican los numerales 5.4, 5.5 y 5.6. Nota: La actividad con el Banco Agrario se realiza dado que esta cuenta bancaria no está en línea en el sistema SIIF Nación. </w:t>
      </w:r>
    </w:p>
    <w:p w14:paraId="0FC63CE1" w14:textId="77777777" w:rsidR="00CD4E3D" w:rsidRDefault="00CD4E3D" w:rsidP="00B02E60">
      <w:pPr>
        <w:spacing w:after="0" w:line="240" w:lineRule="auto"/>
        <w:jc w:val="both"/>
        <w:rPr>
          <w:rFonts w:ascii="Verdana" w:hAnsi="Verdana"/>
        </w:rPr>
      </w:pPr>
    </w:p>
    <w:p w14:paraId="5FC50AA7" w14:textId="77777777" w:rsidR="00CD4E3D" w:rsidRDefault="00CD4E3D" w:rsidP="00B02E60">
      <w:pPr>
        <w:spacing w:after="0" w:line="240" w:lineRule="auto"/>
        <w:jc w:val="both"/>
        <w:rPr>
          <w:rFonts w:ascii="Verdana" w:hAnsi="Verdana"/>
        </w:rPr>
      </w:pPr>
      <w:r w:rsidRPr="00CE77E6">
        <w:rPr>
          <w:rFonts w:ascii="Verdana" w:hAnsi="Verdana"/>
          <w:b/>
          <w:bCs/>
        </w:rPr>
        <w:t>5.4. Registro de partidas pendientes de contabilización:</w:t>
      </w:r>
      <w:r w:rsidRPr="00CD4E3D">
        <w:rPr>
          <w:rFonts w:ascii="Verdana" w:hAnsi="Verdana"/>
        </w:rPr>
        <w:t xml:space="preserve"> en caso de presentarse partidas pendientes de registro en SIIF Nación o valores registrados en SIIF Nación correspondientes al movimiento de una cuenta bancaria diferente, el(la) profesional encargado(a) del grupo de contabilidad analiza las cifras con el responsable a cargo del manejo de las cuentas en el grupo de tesorería para aclarar las diferencias y con base en los soportes suministrados por ese grupo, el </w:t>
      </w:r>
      <w:r w:rsidRPr="00CD4E3D">
        <w:rPr>
          <w:rFonts w:ascii="Verdana" w:hAnsi="Verdana"/>
        </w:rPr>
        <w:lastRenderedPageBreak/>
        <w:t xml:space="preserve">profesional procede a realizar los ajustes en la cuenta contable respectiva en el Sistema SIIF Nación. </w:t>
      </w:r>
    </w:p>
    <w:p w14:paraId="372847AD" w14:textId="77777777" w:rsidR="00CD4E3D" w:rsidRDefault="00CD4E3D" w:rsidP="00B02E60">
      <w:pPr>
        <w:spacing w:after="0" w:line="240" w:lineRule="auto"/>
        <w:jc w:val="both"/>
        <w:rPr>
          <w:rFonts w:ascii="Verdana" w:hAnsi="Verdana"/>
        </w:rPr>
      </w:pPr>
    </w:p>
    <w:p w14:paraId="3B8F76EC" w14:textId="77777777" w:rsidR="00CD4E3D" w:rsidRDefault="00CD4E3D" w:rsidP="00B02E60">
      <w:pPr>
        <w:spacing w:after="0" w:line="240" w:lineRule="auto"/>
        <w:jc w:val="both"/>
        <w:rPr>
          <w:rFonts w:ascii="Verdana" w:hAnsi="Verdana"/>
        </w:rPr>
      </w:pPr>
      <w:r w:rsidRPr="00CE77E6">
        <w:rPr>
          <w:rFonts w:ascii="Verdana" w:hAnsi="Verdana"/>
          <w:b/>
          <w:bCs/>
        </w:rPr>
        <w:t>5.5. Aprobar comprobantes contables:</w:t>
      </w:r>
      <w:r w:rsidRPr="00CD4E3D">
        <w:rPr>
          <w:rFonts w:ascii="Verdana" w:hAnsi="Verdana"/>
        </w:rPr>
        <w:t xml:space="preserve"> el(la) coordinador(a) del grupo de contabilidad procede a aprobar o rechazar el comprobante. Si el comprobante es rechazado el(la) profesional encargado(a) del grupo de contabilidad deberá realizar la modificación respectiva y pasar nuevamente el comprobante para aprobación. </w:t>
      </w:r>
    </w:p>
    <w:p w14:paraId="5CA0ADEB" w14:textId="77777777" w:rsidR="00CD4E3D" w:rsidRDefault="00CD4E3D" w:rsidP="00B02E60">
      <w:pPr>
        <w:spacing w:after="0" w:line="240" w:lineRule="auto"/>
        <w:jc w:val="both"/>
        <w:rPr>
          <w:rFonts w:ascii="Verdana" w:hAnsi="Verdana"/>
        </w:rPr>
      </w:pPr>
    </w:p>
    <w:p w14:paraId="0A50F289" w14:textId="77777777" w:rsidR="00CD4E3D" w:rsidRDefault="00CD4E3D" w:rsidP="00B02E60">
      <w:pPr>
        <w:spacing w:after="0" w:line="240" w:lineRule="auto"/>
        <w:jc w:val="both"/>
        <w:rPr>
          <w:rFonts w:ascii="Verdana" w:hAnsi="Verdana"/>
        </w:rPr>
      </w:pPr>
      <w:r w:rsidRPr="00CE77E6">
        <w:rPr>
          <w:rFonts w:ascii="Verdana" w:hAnsi="Verdana"/>
          <w:b/>
          <w:bCs/>
        </w:rPr>
        <w:t>5.6. Registro de diferencias sin conciliar:</w:t>
      </w:r>
      <w:r w:rsidRPr="00CD4E3D">
        <w:rPr>
          <w:rFonts w:ascii="Verdana" w:hAnsi="Verdana"/>
        </w:rPr>
        <w:t xml:space="preserve"> una vez terminada la revisión de las partidas conciliatorias, y de la cual no se logró establecer el tercero y se tenga la certeza del concepto por el cual se realizó la transacción se reconocerá según su naturaleza (ingreso, gasto, activo o pasivo). </w:t>
      </w:r>
    </w:p>
    <w:p w14:paraId="4F28734D" w14:textId="77777777" w:rsidR="00CD4E3D" w:rsidRDefault="00CD4E3D" w:rsidP="00B02E60">
      <w:pPr>
        <w:spacing w:after="0" w:line="240" w:lineRule="auto"/>
        <w:jc w:val="both"/>
        <w:rPr>
          <w:rFonts w:ascii="Verdana" w:hAnsi="Verdana"/>
        </w:rPr>
      </w:pPr>
    </w:p>
    <w:p w14:paraId="28C40F8F" w14:textId="77777777" w:rsidR="004622D4" w:rsidRDefault="00CD4E3D" w:rsidP="00B02E60">
      <w:pPr>
        <w:spacing w:after="0" w:line="240" w:lineRule="auto"/>
        <w:jc w:val="both"/>
        <w:rPr>
          <w:rFonts w:ascii="Verdana" w:hAnsi="Verdana"/>
        </w:rPr>
      </w:pPr>
      <w:r w:rsidRPr="00CE77E6">
        <w:rPr>
          <w:rFonts w:ascii="Verdana" w:hAnsi="Verdana"/>
          <w:b/>
          <w:bCs/>
        </w:rPr>
        <w:t>5.7. Elaboración Conciliación Bancaria</w:t>
      </w:r>
      <w:r w:rsidRPr="00CD4E3D">
        <w:rPr>
          <w:rFonts w:ascii="Verdana" w:hAnsi="Verdana"/>
        </w:rPr>
        <w:t>: el(la) profesional encargado(a) del grupo de contabilidad elabora la conciliación en el formato de conciliación bancaria GR-FM-0</w:t>
      </w:r>
      <w:r w:rsidR="004622D4">
        <w:rPr>
          <w:rFonts w:ascii="Verdana" w:hAnsi="Verdana"/>
        </w:rPr>
        <w:t>28</w:t>
      </w:r>
      <w:r w:rsidRPr="00CD4E3D">
        <w:rPr>
          <w:rFonts w:ascii="Verdana" w:hAnsi="Verdana"/>
        </w:rPr>
        <w:t xml:space="preserve">, por cada cuenta bancaria y diligencia el campo “ELABORADO POR” y firma, luego lo envía a verificación al grupo de tesorería para su revisión, anexando los saldos contables del reporte auxiliar contable por cuenta bancaria de SIIF Nación y los extractos bancarios. </w:t>
      </w:r>
    </w:p>
    <w:p w14:paraId="7B4915CC" w14:textId="77777777" w:rsidR="004622D4" w:rsidRDefault="004622D4" w:rsidP="00B02E60">
      <w:pPr>
        <w:spacing w:after="0" w:line="240" w:lineRule="auto"/>
        <w:jc w:val="both"/>
        <w:rPr>
          <w:rFonts w:ascii="Verdana" w:hAnsi="Verdana"/>
        </w:rPr>
      </w:pPr>
    </w:p>
    <w:p w14:paraId="0C361443" w14:textId="0495A0DE" w:rsidR="00CD4E3D" w:rsidRDefault="00CD4E3D" w:rsidP="00B02E60">
      <w:pPr>
        <w:spacing w:after="0" w:line="240" w:lineRule="auto"/>
        <w:jc w:val="both"/>
        <w:rPr>
          <w:rFonts w:ascii="Verdana" w:hAnsi="Verdana"/>
        </w:rPr>
      </w:pPr>
      <w:r w:rsidRPr="00CD4E3D">
        <w:rPr>
          <w:rFonts w:ascii="Verdana" w:hAnsi="Verdana"/>
        </w:rPr>
        <w:t>El grupo de tesorería revisa la información contenida en el formato de conciliación GR-FM-0</w:t>
      </w:r>
      <w:r w:rsidR="004622D4">
        <w:rPr>
          <w:rFonts w:ascii="Verdana" w:hAnsi="Verdana"/>
        </w:rPr>
        <w:t>28</w:t>
      </w:r>
      <w:r w:rsidRPr="00CD4E3D">
        <w:rPr>
          <w:rFonts w:ascii="Verdana" w:hAnsi="Verdana"/>
        </w:rPr>
        <w:t>. Si se presentan inconsistencias, revisa con el(la) profesional encargado(a) del grupo de contabilidad para corregir o ajustar las diferencias. Si están correctas las conciliaciones, el grupo de tesorería diligencia el campo “REVISADO POR” y firma. Posteriormente, se envía a él (la) coordinador(a) de contabilidad para ser aprobada, quien diligencia el campo “APROBADO POR” y firma.</w:t>
      </w:r>
    </w:p>
    <w:p w14:paraId="5E614B76" w14:textId="77777777" w:rsidR="004622D4" w:rsidRDefault="004622D4" w:rsidP="00B02E60">
      <w:pPr>
        <w:spacing w:after="0" w:line="240" w:lineRule="auto"/>
        <w:jc w:val="both"/>
        <w:rPr>
          <w:rFonts w:ascii="Verdana" w:hAnsi="Verdana"/>
        </w:rPr>
      </w:pPr>
    </w:p>
    <w:p w14:paraId="64823646" w14:textId="331B1039" w:rsidR="004622D4" w:rsidRDefault="00CC0CEF" w:rsidP="00B02E60">
      <w:pPr>
        <w:spacing w:after="0" w:line="240" w:lineRule="auto"/>
        <w:jc w:val="both"/>
        <w:rPr>
          <w:rFonts w:ascii="Verdana" w:hAnsi="Verdana"/>
        </w:rPr>
      </w:pPr>
      <w:r w:rsidRPr="00CC0CEF">
        <w:rPr>
          <w:rFonts w:ascii="Verdana" w:hAnsi="Verdana"/>
        </w:rPr>
        <w:t>Posteriormente, se envía a él (la) coordinador(a) de contabilidad para ser aprobada, quien diligencia el campo “APROBADO POR” y firma.</w:t>
      </w:r>
    </w:p>
    <w:p w14:paraId="2CFEF98F" w14:textId="77777777" w:rsidR="00CC0CEF" w:rsidRDefault="00CC0CEF" w:rsidP="00B02E60">
      <w:pPr>
        <w:spacing w:after="0" w:line="240" w:lineRule="auto"/>
        <w:jc w:val="both"/>
        <w:rPr>
          <w:rFonts w:ascii="Verdana" w:hAnsi="Verdana"/>
        </w:rPr>
      </w:pPr>
    </w:p>
    <w:p w14:paraId="5D422CBF" w14:textId="4974CB0E" w:rsidR="00CC0CEF" w:rsidRDefault="00CC0CEF" w:rsidP="00B02E60">
      <w:pPr>
        <w:spacing w:after="0" w:line="240" w:lineRule="auto"/>
        <w:jc w:val="both"/>
        <w:rPr>
          <w:rFonts w:ascii="Verdana" w:hAnsi="Verdana"/>
        </w:rPr>
      </w:pPr>
      <w:r w:rsidRPr="00CC0CEF">
        <w:rPr>
          <w:rFonts w:ascii="Verdana" w:hAnsi="Verdana"/>
          <w:b/>
          <w:bCs/>
        </w:rPr>
        <w:t>Nota</w:t>
      </w:r>
      <w:r>
        <w:rPr>
          <w:rFonts w:ascii="Verdana" w:hAnsi="Verdana"/>
          <w:b/>
          <w:bCs/>
        </w:rPr>
        <w:t xml:space="preserve"> </w:t>
      </w:r>
      <w:r w:rsidRPr="00CC0CEF">
        <w:rPr>
          <w:rFonts w:ascii="Verdana" w:hAnsi="Verdana"/>
          <w:b/>
          <w:bCs/>
        </w:rPr>
        <w:t>1:</w:t>
      </w:r>
      <w:r w:rsidRPr="00CC0CEF">
        <w:rPr>
          <w:rFonts w:ascii="Verdana" w:hAnsi="Verdana"/>
        </w:rPr>
        <w:t xml:space="preserve"> Las cuentas bancarias que presentan saldo en cero en forma permanente y que no tienen movimiento en SIIF Nación ni en el banco, no se les diligenciará el formato de conciliación bancaria. </w:t>
      </w:r>
    </w:p>
    <w:p w14:paraId="0D4FCCE9" w14:textId="77777777" w:rsidR="00CC0CEF" w:rsidRDefault="00CC0CEF" w:rsidP="00B02E60">
      <w:pPr>
        <w:spacing w:after="0" w:line="240" w:lineRule="auto"/>
        <w:jc w:val="both"/>
        <w:rPr>
          <w:rFonts w:ascii="Verdana" w:hAnsi="Verdana"/>
        </w:rPr>
      </w:pPr>
    </w:p>
    <w:p w14:paraId="62C58A5E" w14:textId="13222CBE" w:rsidR="00CC0CEF" w:rsidRDefault="00CC0CEF" w:rsidP="00B02E60">
      <w:pPr>
        <w:spacing w:after="0" w:line="240" w:lineRule="auto"/>
        <w:jc w:val="both"/>
        <w:rPr>
          <w:rFonts w:ascii="Verdana" w:hAnsi="Verdana"/>
        </w:rPr>
      </w:pPr>
      <w:r w:rsidRPr="00CC0CEF">
        <w:rPr>
          <w:rFonts w:ascii="Verdana" w:hAnsi="Verdana"/>
          <w:b/>
          <w:bCs/>
        </w:rPr>
        <w:t>Nota 2:</w:t>
      </w:r>
      <w:r w:rsidRPr="00CC0CEF">
        <w:rPr>
          <w:rFonts w:ascii="Verdana" w:hAnsi="Verdana"/>
        </w:rPr>
        <w:t xml:space="preserve"> Para el caso de las cajas menores, los(las) cuentadantes decidirán quienes deben diligenciar y</w:t>
      </w:r>
      <w:r>
        <w:rPr>
          <w:rFonts w:ascii="Verdana" w:hAnsi="Verdana"/>
        </w:rPr>
        <w:t xml:space="preserve"> </w:t>
      </w:r>
      <w:r w:rsidRPr="00CC0CEF">
        <w:rPr>
          <w:rFonts w:ascii="Verdana" w:hAnsi="Verdana"/>
        </w:rPr>
        <w:t>firmar los campos de “ELABORADO POR”, “REVISADO POR” y “APROBADO POR”.</w:t>
      </w:r>
    </w:p>
    <w:p w14:paraId="71D77FC7" w14:textId="77777777" w:rsidR="00600049" w:rsidRDefault="00600049" w:rsidP="001844E9">
      <w:pPr>
        <w:spacing w:after="0" w:line="240" w:lineRule="auto"/>
        <w:jc w:val="both"/>
        <w:rPr>
          <w:rFonts w:ascii="Verdana" w:hAnsi="Verdana"/>
        </w:rPr>
      </w:pPr>
    </w:p>
    <w:p w14:paraId="1615904F" w14:textId="77777777" w:rsidR="006A0839" w:rsidRDefault="006A0839" w:rsidP="001844E9">
      <w:pPr>
        <w:spacing w:after="0" w:line="240" w:lineRule="auto"/>
        <w:jc w:val="both"/>
        <w:rPr>
          <w:rFonts w:ascii="Verdana" w:hAnsi="Verdana"/>
        </w:rPr>
      </w:pPr>
    </w:p>
    <w:p w14:paraId="4D441927" w14:textId="77777777" w:rsidR="006A0839" w:rsidRDefault="006A0839" w:rsidP="001844E9">
      <w:pPr>
        <w:spacing w:after="0" w:line="240" w:lineRule="auto"/>
        <w:jc w:val="both"/>
        <w:rPr>
          <w:rFonts w:ascii="Verdana" w:hAnsi="Verdana"/>
        </w:rPr>
      </w:pPr>
    </w:p>
    <w:p w14:paraId="5B135A1D" w14:textId="77777777" w:rsidR="006A0839" w:rsidRDefault="006A0839" w:rsidP="001844E9">
      <w:pPr>
        <w:spacing w:after="0" w:line="240" w:lineRule="auto"/>
        <w:jc w:val="both"/>
        <w:rPr>
          <w:rFonts w:ascii="Verdana" w:hAnsi="Verdana"/>
        </w:rPr>
      </w:pPr>
    </w:p>
    <w:p w14:paraId="3DA29C2A" w14:textId="77777777" w:rsidR="006A0839" w:rsidRDefault="006A0839" w:rsidP="001844E9">
      <w:pPr>
        <w:spacing w:after="0" w:line="240" w:lineRule="auto"/>
        <w:jc w:val="both"/>
        <w:rPr>
          <w:rFonts w:ascii="Verdana" w:hAnsi="Verdana"/>
        </w:rPr>
      </w:pPr>
    </w:p>
    <w:p w14:paraId="7BDFBCA0" w14:textId="77777777" w:rsidR="006A0839" w:rsidRDefault="006A0839" w:rsidP="001844E9">
      <w:pPr>
        <w:spacing w:after="0" w:line="240" w:lineRule="auto"/>
        <w:jc w:val="both"/>
        <w:rPr>
          <w:rFonts w:ascii="Verdana" w:hAnsi="Verdana"/>
        </w:rPr>
      </w:pPr>
    </w:p>
    <w:p w14:paraId="00B31D3B" w14:textId="77777777" w:rsidR="006A0839" w:rsidRDefault="006A0839" w:rsidP="001844E9">
      <w:pPr>
        <w:spacing w:after="0" w:line="240" w:lineRule="auto"/>
        <w:jc w:val="both"/>
        <w:rPr>
          <w:rFonts w:ascii="Verdana" w:hAnsi="Verdana"/>
        </w:rPr>
      </w:pPr>
    </w:p>
    <w:p w14:paraId="4C71CE83" w14:textId="77777777" w:rsidR="006A0839" w:rsidRDefault="006A0839" w:rsidP="001844E9">
      <w:pPr>
        <w:spacing w:after="0" w:line="240" w:lineRule="auto"/>
        <w:jc w:val="both"/>
        <w:rPr>
          <w:rFonts w:ascii="Verdana" w:hAnsi="Verdana"/>
        </w:rPr>
      </w:pPr>
    </w:p>
    <w:p w14:paraId="1A1B2264" w14:textId="4CFD7BC8" w:rsidR="00665072" w:rsidRPr="005B5DC6" w:rsidRDefault="007D4EE7" w:rsidP="00DC0AE2">
      <w:pPr>
        <w:pStyle w:val="Heading1"/>
        <w:rPr>
          <w:rFonts w:ascii="Verdana" w:eastAsia="Verdana" w:hAnsi="Verdana" w:cs="Verdana"/>
          <w:b/>
          <w:bCs/>
          <w:color w:val="auto"/>
          <w:sz w:val="22"/>
          <w:szCs w:val="22"/>
        </w:rPr>
      </w:pPr>
      <w:bookmarkStart w:id="7" w:name="_Toc224726470"/>
      <w:r>
        <w:rPr>
          <w:rFonts w:ascii="Verdana" w:eastAsia="Verdana" w:hAnsi="Verdana" w:cs="Verdana"/>
          <w:b/>
          <w:bCs/>
          <w:color w:val="auto"/>
          <w:sz w:val="22"/>
          <w:szCs w:val="22"/>
        </w:rPr>
        <w:lastRenderedPageBreak/>
        <w:t>6</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7"/>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10ACF8FB">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10ACF8FB">
        <w:trPr>
          <w:trHeight w:val="300"/>
        </w:trPr>
        <w:tc>
          <w:tcPr>
            <w:tcW w:w="1418" w:type="dxa"/>
            <w:tcMar>
              <w:top w:w="57" w:type="dxa"/>
              <w:left w:w="113" w:type="dxa"/>
              <w:bottom w:w="57" w:type="dxa"/>
            </w:tcMar>
            <w:vAlign w:val="center"/>
          </w:tcPr>
          <w:p w14:paraId="51E5B420" w14:textId="17D81B91" w:rsidR="00665072" w:rsidRPr="00DD7470" w:rsidRDefault="0C01D7FE" w:rsidP="00B1761A">
            <w:pPr>
              <w:spacing w:after="0" w:line="240" w:lineRule="auto"/>
              <w:jc w:val="center"/>
              <w:rPr>
                <w:rFonts w:ascii="Verdana" w:hAnsi="Verdana" w:cs="Arial"/>
                <w:sz w:val="16"/>
                <w:szCs w:val="16"/>
              </w:rPr>
            </w:pPr>
            <w:r w:rsidRPr="10ACF8FB">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2783EB67" w14:textId="7C0662F6" w:rsidR="00665072" w:rsidRPr="00DD7470" w:rsidRDefault="5DBA3C2F" w:rsidP="10ACF8FB">
            <w:pPr>
              <w:spacing w:after="0" w:line="240" w:lineRule="auto"/>
              <w:jc w:val="both"/>
              <w:rPr>
                <w:rFonts w:ascii="Verdana" w:hAnsi="Verdana" w:cs="Arial"/>
                <w:sz w:val="16"/>
                <w:szCs w:val="16"/>
              </w:rPr>
            </w:pPr>
            <w:r w:rsidRPr="10ACF8FB">
              <w:rPr>
                <w:rFonts w:ascii="Verdana" w:hAnsi="Verdana" w:cs="Arial"/>
                <w:sz w:val="16"/>
                <w:szCs w:val="16"/>
              </w:rPr>
              <w:t xml:space="preserve">Primera versión del documento para el nuevo Mapa de procesos. </w:t>
            </w:r>
          </w:p>
          <w:p w14:paraId="514E3B2E" w14:textId="099739DE" w:rsidR="00665072" w:rsidRPr="00DD7470" w:rsidRDefault="5DBA3C2F" w:rsidP="10ACF8FB">
            <w:pPr>
              <w:spacing w:after="0" w:line="240" w:lineRule="auto"/>
              <w:jc w:val="both"/>
              <w:rPr>
                <w:rFonts w:ascii="Verdana" w:hAnsi="Verdana" w:cs="Arial"/>
                <w:sz w:val="16"/>
                <w:szCs w:val="16"/>
              </w:rPr>
            </w:pPr>
            <w:r w:rsidRPr="10ACF8FB">
              <w:rPr>
                <w:rFonts w:ascii="Verdana" w:hAnsi="Verdana" w:cs="Arial"/>
                <w:sz w:val="16"/>
                <w:szCs w:val="16"/>
              </w:rPr>
              <w:t xml:space="preserve">Código anterior: </w:t>
            </w:r>
            <w:r w:rsidR="3AD47E83" w:rsidRPr="10ACF8FB">
              <w:rPr>
                <w:rFonts w:ascii="Verdana" w:hAnsi="Verdana" w:cs="Arial"/>
                <w:sz w:val="16"/>
                <w:szCs w:val="16"/>
              </w:rPr>
              <w:t>GR</w:t>
            </w:r>
            <w:r w:rsidRPr="10ACF8FB">
              <w:rPr>
                <w:rFonts w:ascii="Verdana" w:hAnsi="Verdana" w:cs="Arial"/>
                <w:sz w:val="16"/>
                <w:szCs w:val="16"/>
              </w:rPr>
              <w:t>-D</w:t>
            </w:r>
            <w:r w:rsidR="3AD47E83" w:rsidRPr="10ACF8FB">
              <w:rPr>
                <w:rFonts w:ascii="Verdana" w:hAnsi="Verdana" w:cs="Arial"/>
                <w:sz w:val="16"/>
                <w:szCs w:val="16"/>
              </w:rPr>
              <w:t>R</w:t>
            </w:r>
            <w:r w:rsidRPr="10ACF8FB">
              <w:rPr>
                <w:rFonts w:ascii="Verdana" w:hAnsi="Verdana" w:cs="Arial"/>
                <w:sz w:val="16"/>
                <w:szCs w:val="16"/>
              </w:rPr>
              <w:t>-0</w:t>
            </w:r>
            <w:r w:rsidR="007D4EE7" w:rsidRPr="10ACF8FB">
              <w:rPr>
                <w:rFonts w:ascii="Verdana" w:hAnsi="Verdana" w:cs="Arial"/>
                <w:sz w:val="16"/>
                <w:szCs w:val="16"/>
              </w:rPr>
              <w:t>12</w:t>
            </w:r>
            <w:r w:rsidR="59FC22A6" w:rsidRPr="10ACF8FB">
              <w:rPr>
                <w:rFonts w:ascii="Verdana" w:hAnsi="Verdana" w:cs="Arial"/>
                <w:sz w:val="16"/>
                <w:szCs w:val="16"/>
              </w:rPr>
              <w:t>.V</w:t>
            </w:r>
            <w:r w:rsidR="280F2D3A" w:rsidRPr="10ACF8FB">
              <w:rPr>
                <w:rFonts w:ascii="Verdana" w:hAnsi="Verdana" w:cs="Arial"/>
                <w:sz w:val="16"/>
                <w:szCs w:val="16"/>
              </w:rPr>
              <w:t>00.</w:t>
            </w:r>
          </w:p>
          <w:p w14:paraId="165CEC68" w14:textId="6937711D" w:rsidR="00665072" w:rsidRPr="00DD7470" w:rsidRDefault="00665072" w:rsidP="10ACF8FB">
            <w:pPr>
              <w:spacing w:after="0" w:line="240" w:lineRule="auto"/>
              <w:jc w:val="both"/>
              <w:rPr>
                <w:rFonts w:ascii="Verdana" w:hAnsi="Verdana" w:cs="Arial"/>
                <w:sz w:val="16"/>
                <w:szCs w:val="16"/>
              </w:rPr>
            </w:pPr>
          </w:p>
          <w:p w14:paraId="7352DB5B" w14:textId="1B790C6F" w:rsidR="00665072" w:rsidRDefault="280F2D3A" w:rsidP="00B1761A">
            <w:pPr>
              <w:spacing w:after="0" w:line="240" w:lineRule="auto"/>
              <w:jc w:val="both"/>
              <w:rPr>
                <w:rFonts w:ascii="Verdana" w:eastAsia="Verdana" w:hAnsi="Verdana" w:cs="Verdana"/>
                <w:color w:val="000000" w:themeColor="text1"/>
                <w:sz w:val="16"/>
                <w:szCs w:val="16"/>
              </w:rPr>
            </w:pPr>
            <w:r w:rsidRPr="10ACF8FB">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2417E458" w14:textId="77777777" w:rsidR="006A0839" w:rsidRPr="00DD7470" w:rsidRDefault="006A0839" w:rsidP="00B1761A">
            <w:pPr>
              <w:spacing w:after="0" w:line="240" w:lineRule="auto"/>
              <w:jc w:val="both"/>
            </w:pPr>
          </w:p>
          <w:tbl>
            <w:tblPr>
              <w:tblStyle w:val="TableGrid"/>
              <w:tblW w:w="0" w:type="auto"/>
              <w:tblLook w:val="04A0" w:firstRow="1" w:lastRow="0" w:firstColumn="1" w:lastColumn="0" w:noHBand="0" w:noVBand="1"/>
            </w:tblPr>
            <w:tblGrid>
              <w:gridCol w:w="4006"/>
              <w:gridCol w:w="4006"/>
            </w:tblGrid>
            <w:tr w:rsidR="10ACF8FB" w14:paraId="24B6B608" w14:textId="77777777" w:rsidTr="10ACF8FB">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3E10526" w14:textId="105BED77" w:rsidR="10ACF8FB" w:rsidRDefault="10ACF8FB" w:rsidP="10ACF8FB">
                  <w:pPr>
                    <w:jc w:val="center"/>
                  </w:pPr>
                  <w:r w:rsidRPr="10ACF8FB">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4EDA8DE" w14:textId="6BFF67EC" w:rsidR="10ACF8FB" w:rsidRDefault="10ACF8FB" w:rsidP="10ACF8FB">
                  <w:pPr>
                    <w:jc w:val="center"/>
                  </w:pPr>
                  <w:r w:rsidRPr="10ACF8FB">
                    <w:rPr>
                      <w:rFonts w:ascii="Verdana" w:eastAsia="Verdana" w:hAnsi="Verdana" w:cs="Verdana"/>
                      <w:color w:val="000000" w:themeColor="text1"/>
                      <w:sz w:val="16"/>
                      <w:szCs w:val="16"/>
                    </w:rPr>
                    <w:t>APROBÓ</w:t>
                  </w:r>
                </w:p>
              </w:tc>
            </w:tr>
            <w:tr w:rsidR="10ACF8FB" w14:paraId="47F1C214" w14:textId="77777777" w:rsidTr="10ACF8FB">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7968C443" w14:textId="3A8FED36" w:rsidR="10ACF8FB" w:rsidRDefault="10ACF8FB" w:rsidP="10ACF8FB">
                  <w:pPr>
                    <w:jc w:val="both"/>
                  </w:pPr>
                  <w:r w:rsidRPr="10ACF8FB">
                    <w:rPr>
                      <w:rFonts w:ascii="Verdana" w:eastAsia="Verdana" w:hAnsi="Verdana" w:cs="Verdana"/>
                      <w:color w:val="000000" w:themeColor="text1"/>
                      <w:sz w:val="16"/>
                      <w:szCs w:val="16"/>
                    </w:rPr>
                    <w:t>SANDRA CONSUELO ACERO MELO</w:t>
                  </w:r>
                </w:p>
                <w:p w14:paraId="0D8C78FF" w14:textId="66CC2A30" w:rsidR="10ACF8FB" w:rsidRDefault="10ACF8FB" w:rsidP="10ACF8FB">
                  <w:pPr>
                    <w:jc w:val="both"/>
                  </w:pPr>
                  <w:r w:rsidRPr="10ACF8FB">
                    <w:rPr>
                      <w:rFonts w:ascii="Verdana" w:eastAsia="Verdana" w:hAnsi="Verdana" w:cs="Verdana"/>
                      <w:color w:val="000000" w:themeColor="text1"/>
                      <w:sz w:val="16"/>
                      <w:szCs w:val="16"/>
                    </w:rPr>
                    <w:t xml:space="preserve">Cargo: Coordinadora grupo contabilidad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C5DD75D" w14:textId="3B34EEC3" w:rsidR="10ACF8FB" w:rsidRDefault="10ACF8FB" w:rsidP="10ACF8FB">
                  <w:pPr>
                    <w:jc w:val="both"/>
                  </w:pPr>
                  <w:r w:rsidRPr="10ACF8FB">
                    <w:rPr>
                      <w:rFonts w:ascii="Verdana" w:eastAsia="Verdana" w:hAnsi="Verdana" w:cs="Verdana"/>
                      <w:color w:val="000000" w:themeColor="text1"/>
                      <w:sz w:val="16"/>
                      <w:szCs w:val="16"/>
                    </w:rPr>
                    <w:t>SANDRA CONSUELO ACERO MELO</w:t>
                  </w:r>
                </w:p>
                <w:p w14:paraId="16610924" w14:textId="3E7BBE3E" w:rsidR="10ACF8FB" w:rsidRDefault="10ACF8FB" w:rsidP="10ACF8FB">
                  <w:pPr>
                    <w:jc w:val="both"/>
                  </w:pPr>
                  <w:r w:rsidRPr="10ACF8FB">
                    <w:rPr>
                      <w:rFonts w:ascii="Verdana" w:eastAsia="Verdana" w:hAnsi="Verdana" w:cs="Verdana"/>
                      <w:color w:val="000000" w:themeColor="text1"/>
                      <w:sz w:val="16"/>
                      <w:szCs w:val="16"/>
                    </w:rPr>
                    <w:t>Cargo: Coordinadora grupo contabilidad</w:t>
                  </w:r>
                </w:p>
              </w:tc>
            </w:tr>
          </w:tbl>
          <w:p w14:paraId="284E0163" w14:textId="2B612F07" w:rsidR="00665072" w:rsidRPr="00DD7470" w:rsidRDefault="280F2D3A" w:rsidP="00B1761A">
            <w:pPr>
              <w:spacing w:after="0" w:line="240" w:lineRule="auto"/>
              <w:jc w:val="both"/>
            </w:pPr>
            <w:r w:rsidRPr="10ACF8FB">
              <w:rPr>
                <w:rFonts w:ascii="Verdana" w:eastAsia="Verdana" w:hAnsi="Verdana" w:cs="Verdana"/>
                <w:color w:val="000000" w:themeColor="text1"/>
                <w:sz w:val="16"/>
                <w:szCs w:val="16"/>
              </w:rPr>
              <w:t xml:space="preserve"> </w:t>
            </w:r>
          </w:p>
          <w:p w14:paraId="63D6C395" w14:textId="47E9E7E0" w:rsidR="00665072" w:rsidRPr="00DD7470" w:rsidRDefault="280F2D3A" w:rsidP="00B1761A">
            <w:pPr>
              <w:spacing w:after="0" w:line="240" w:lineRule="auto"/>
              <w:jc w:val="both"/>
            </w:pPr>
            <w:r w:rsidRPr="10ACF8FB">
              <w:rPr>
                <w:rFonts w:ascii="Verdana" w:eastAsia="Verdana" w:hAnsi="Verdana" w:cs="Verdana"/>
                <w:sz w:val="16"/>
                <w:szCs w:val="16"/>
              </w:rPr>
              <w:t>Desde la OAPS se asegura que el contenido corresponde a la ultima versión vigente en ISOlución al momento de la migración a MIOsoft.</w:t>
            </w:r>
          </w:p>
          <w:p w14:paraId="4120EAED" w14:textId="5A84F35E" w:rsidR="00665072" w:rsidRPr="00DD7470" w:rsidRDefault="00665072" w:rsidP="00B1761A">
            <w:pPr>
              <w:spacing w:after="0" w:line="240" w:lineRule="auto"/>
              <w:jc w:val="both"/>
              <w:rPr>
                <w:rFonts w:ascii="Verdana" w:hAnsi="Verdana" w:cs="Arial"/>
                <w:sz w:val="16"/>
                <w:szCs w:val="16"/>
              </w:rPr>
            </w:pPr>
          </w:p>
        </w:tc>
      </w:tr>
    </w:tbl>
    <w:p w14:paraId="1FAE5F3E" w14:textId="77777777" w:rsidR="00CE77E6" w:rsidRDefault="00CE77E6" w:rsidP="00665072">
      <w:pPr>
        <w:spacing w:after="0" w:line="240" w:lineRule="auto"/>
        <w:rPr>
          <w:rFonts w:ascii="Verdana" w:eastAsia="Verdana" w:hAnsi="Verdana" w:cs="Verdana"/>
          <w:b/>
          <w:bCs/>
        </w:rPr>
      </w:pPr>
    </w:p>
    <w:p w14:paraId="101973CC" w14:textId="77777777" w:rsidR="006A0839" w:rsidRPr="00DD7470" w:rsidRDefault="006A0839"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10ACF8FB">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10ACF8FB">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474BA3AA" w:rsidR="00C3644B" w:rsidRPr="00DD7470" w:rsidRDefault="00C3644B"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4C9D9D68" w:rsidR="00665072" w:rsidRPr="00DD7470" w:rsidRDefault="00C3644B" w:rsidP="00B1761A">
            <w:pPr>
              <w:rPr>
                <w:rFonts w:ascii="Verdana" w:hAnsi="Verdana"/>
                <w:sz w:val="16"/>
                <w:szCs w:val="16"/>
              </w:rPr>
            </w:pPr>
            <w:r>
              <w:rPr>
                <w:rFonts w:ascii="Verdana" w:hAnsi="Verdana"/>
                <w:sz w:val="16"/>
                <w:szCs w:val="16"/>
              </w:rPr>
              <w:t>Jefferson López Saavedra</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17E556B0"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14BBBF8F" w:rsidR="00665072" w:rsidRPr="00DD7470" w:rsidRDefault="00665072" w:rsidP="00B1761A">
            <w:pPr>
              <w:rPr>
                <w:rFonts w:ascii="Verdana" w:hAnsi="Verdana"/>
                <w:sz w:val="16"/>
                <w:szCs w:val="16"/>
              </w:rPr>
            </w:pPr>
          </w:p>
        </w:tc>
      </w:tr>
      <w:tr w:rsidR="00DD7470" w:rsidRPr="00DD7470" w14:paraId="18130346" w14:textId="77777777" w:rsidTr="10ACF8FB">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213B3C37" w:rsidR="00454502" w:rsidRPr="00DD7470" w:rsidRDefault="00454502" w:rsidP="00B1761A">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1E73C8C8" w:rsidR="00665072" w:rsidRPr="00DD7470" w:rsidRDefault="00C3644B" w:rsidP="00B1761A">
            <w:pPr>
              <w:rPr>
                <w:rFonts w:ascii="Verdana" w:hAnsi="Verdana"/>
                <w:sz w:val="16"/>
                <w:szCs w:val="16"/>
              </w:rPr>
            </w:pPr>
            <w:r>
              <w:rPr>
                <w:rFonts w:ascii="Verdana" w:hAnsi="Verdana"/>
                <w:sz w:val="16"/>
                <w:szCs w:val="16"/>
              </w:rPr>
              <w:t>Profesional especializado</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5C15E8D6"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2D501F0E" w:rsidR="00665072" w:rsidRPr="00DD7470" w:rsidRDefault="00665072" w:rsidP="00B1761A">
            <w:pPr>
              <w:rPr>
                <w:rFonts w:ascii="Verdana" w:hAnsi="Verdana"/>
                <w:sz w:val="16"/>
                <w:szCs w:val="16"/>
              </w:rPr>
            </w:pPr>
          </w:p>
        </w:tc>
      </w:tr>
    </w:tbl>
    <w:p w14:paraId="4B7E3D65" w14:textId="740D893F" w:rsidR="00DC2AD0" w:rsidRPr="00DD7470" w:rsidRDefault="00DC2AD0" w:rsidP="009F6E54">
      <w:pPr>
        <w:spacing w:after="0" w:line="240" w:lineRule="auto"/>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2137" w14:textId="77777777" w:rsidR="00CC05CD" w:rsidRDefault="00CC05CD" w:rsidP="009D6623">
      <w:pPr>
        <w:spacing w:after="0" w:line="240" w:lineRule="auto"/>
      </w:pPr>
      <w:r>
        <w:separator/>
      </w:r>
    </w:p>
  </w:endnote>
  <w:endnote w:type="continuationSeparator" w:id="0">
    <w:p w14:paraId="039467A1" w14:textId="77777777" w:rsidR="00CC05CD" w:rsidRDefault="00CC05CD"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9360" w14:textId="77777777" w:rsidR="00CC05CD" w:rsidRDefault="00CC05CD" w:rsidP="009D6623">
      <w:pPr>
        <w:spacing w:after="0" w:line="240" w:lineRule="auto"/>
      </w:pPr>
      <w:r>
        <w:separator/>
      </w:r>
    </w:p>
  </w:footnote>
  <w:footnote w:type="continuationSeparator" w:id="0">
    <w:p w14:paraId="25050B58" w14:textId="77777777" w:rsidR="00CC05CD" w:rsidRDefault="00CC05CD"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10ACF8FB">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782D969F">
                <wp:simplePos x="0" y="0"/>
                <wp:positionH relativeFrom="column">
                  <wp:posOffset>32385</wp:posOffset>
                </wp:positionH>
                <wp:positionV relativeFrom="paragraph">
                  <wp:posOffset>-24130</wp:posOffset>
                </wp:positionV>
                <wp:extent cx="885825" cy="541020"/>
                <wp:effectExtent l="0" t="0" r="9525"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54102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7AFC649C" w:rsidR="001A798F" w:rsidRPr="00666AB9" w:rsidRDefault="10ACF8FB" w:rsidP="001A798F">
          <w:pPr>
            <w:spacing w:after="0"/>
            <w:jc w:val="center"/>
            <w:rPr>
              <w:rFonts w:ascii="Verdana" w:hAnsi="Verdana"/>
            </w:rPr>
          </w:pPr>
          <w:r w:rsidRPr="10ACF8FB">
            <w:rPr>
              <w:rFonts w:ascii="Verdana" w:eastAsia="Arial" w:hAnsi="Verdana" w:cs="Arial"/>
              <w:b/>
              <w:bCs/>
              <w:color w:val="000000" w:themeColor="text1"/>
              <w:sz w:val="18"/>
              <w:szCs w:val="18"/>
            </w:rPr>
            <w:t>Proceso:</w:t>
          </w:r>
          <w:r w:rsidRPr="10ACF8FB">
            <w:rPr>
              <w:rFonts w:ascii="Verdana" w:eastAsia="Arial" w:hAnsi="Verdana" w:cs="Arial"/>
              <w:color w:val="000000" w:themeColor="text1"/>
              <w:sz w:val="18"/>
              <w:szCs w:val="18"/>
            </w:rPr>
            <w:t xml:space="preserve"> </w:t>
          </w:r>
          <w:r w:rsidRPr="10ACF8FB">
            <w:rPr>
              <w:rFonts w:ascii="Verdana" w:eastAsia="Arial" w:hAnsi="Verdana" w:cs="Arial"/>
              <w:b/>
              <w:bCs/>
              <w:color w:val="000000" w:themeColor="text1"/>
              <w:sz w:val="18"/>
              <w:szCs w:val="18"/>
            </w:rPr>
            <w:t>Gestión de Recursos</w:t>
          </w:r>
        </w:p>
      </w:tc>
    </w:tr>
    <w:tr w:rsidR="001A798F" w:rsidRPr="00666AB9" w14:paraId="5E6B1847" w14:textId="77777777" w:rsidTr="10ACF8FB">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335EFD74" w:rsidR="001A798F" w:rsidRPr="00666AB9" w:rsidRDefault="007D4EE7" w:rsidP="001A798F">
          <w:pPr>
            <w:spacing w:after="0"/>
            <w:jc w:val="center"/>
            <w:rPr>
              <w:rFonts w:ascii="Verdana" w:eastAsia="Arial" w:hAnsi="Verdana" w:cs="Arial"/>
              <w:b/>
              <w:bCs/>
              <w:color w:val="000000" w:themeColor="text1"/>
              <w:sz w:val="24"/>
              <w:szCs w:val="24"/>
            </w:rPr>
          </w:pPr>
          <w:r w:rsidRPr="0045739F">
            <w:rPr>
              <w:rFonts w:ascii="Verdana" w:hAnsi="Verdana"/>
              <w:b/>
              <w:bCs/>
              <w:sz w:val="24"/>
              <w:szCs w:val="24"/>
            </w:rPr>
            <w:t>GUÍA PARA LA ELABORACIÓN DE CONCILIACIONES BANCARIAS</w:t>
          </w:r>
        </w:p>
      </w:tc>
    </w:tr>
    <w:tr w:rsidR="001A798F" w:rsidRPr="00666AB9" w14:paraId="64F78FCC" w14:textId="77777777" w:rsidTr="10ACF8FB">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0E3CEEB9" w:rsidR="001A798F" w:rsidRPr="00666AB9" w:rsidRDefault="00BC33D7"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GR-DR-018</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70958A3B" w:rsidR="001A798F" w:rsidRPr="00666AB9" w:rsidRDefault="10ACF8FB" w:rsidP="1BEF733F">
          <w:pPr>
            <w:spacing w:after="0"/>
            <w:rPr>
              <w:rFonts w:ascii="Verdana" w:eastAsia="Arial" w:hAnsi="Verdana" w:cs="Arial"/>
              <w:color w:val="000000" w:themeColor="text1"/>
              <w:sz w:val="14"/>
              <w:szCs w:val="14"/>
            </w:rPr>
          </w:pPr>
          <w:r w:rsidRPr="10ACF8FB">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5310A1B5" w:rsidR="001A798F" w:rsidRPr="00666AB9" w:rsidRDefault="10ACF8FB" w:rsidP="1BEF733F">
          <w:pPr>
            <w:spacing w:after="0"/>
            <w:rPr>
              <w:rFonts w:ascii="Verdana" w:eastAsia="Arial" w:hAnsi="Verdana" w:cs="Arial"/>
              <w:color w:val="000000" w:themeColor="text1"/>
              <w:sz w:val="14"/>
              <w:szCs w:val="14"/>
            </w:rPr>
          </w:pPr>
          <w:r w:rsidRPr="10ACF8FB">
            <w:rPr>
              <w:rFonts w:ascii="Verdana" w:eastAsia="Arial" w:hAnsi="Verdana" w:cs="Arial"/>
              <w:color w:val="000000" w:themeColor="text1"/>
              <w:sz w:val="14"/>
              <w:szCs w:val="14"/>
            </w:rPr>
            <w:t>12/06/2026</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29"/>
  </w:num>
  <w:num w:numId="3" w16cid:durableId="469713837">
    <w:abstractNumId w:val="5"/>
  </w:num>
  <w:num w:numId="4" w16cid:durableId="313753029">
    <w:abstractNumId w:val="30"/>
  </w:num>
  <w:num w:numId="5" w16cid:durableId="761414368">
    <w:abstractNumId w:val="26"/>
  </w:num>
  <w:num w:numId="6" w16cid:durableId="598954898">
    <w:abstractNumId w:val="11"/>
  </w:num>
  <w:num w:numId="7" w16cid:durableId="1112825659">
    <w:abstractNumId w:val="32"/>
  </w:num>
  <w:num w:numId="8" w16cid:durableId="410395644">
    <w:abstractNumId w:val="33"/>
  </w:num>
  <w:num w:numId="9" w16cid:durableId="2030987592">
    <w:abstractNumId w:val="19"/>
  </w:num>
  <w:num w:numId="10" w16cid:durableId="1498110048">
    <w:abstractNumId w:val="23"/>
  </w:num>
  <w:num w:numId="11" w16cid:durableId="1971979863">
    <w:abstractNumId w:val="27"/>
  </w:num>
  <w:num w:numId="12" w16cid:durableId="653801403">
    <w:abstractNumId w:val="20"/>
  </w:num>
  <w:num w:numId="13" w16cid:durableId="267398149">
    <w:abstractNumId w:val="10"/>
  </w:num>
  <w:num w:numId="14" w16cid:durableId="414786405">
    <w:abstractNumId w:val="35"/>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1"/>
  </w:num>
  <w:num w:numId="29" w16cid:durableId="1736467461">
    <w:abstractNumId w:val="28"/>
  </w:num>
  <w:num w:numId="30" w16cid:durableId="1482691342">
    <w:abstractNumId w:val="25"/>
  </w:num>
  <w:num w:numId="31" w16cid:durableId="90974215">
    <w:abstractNumId w:val="21"/>
  </w:num>
  <w:num w:numId="32" w16cid:durableId="780688056">
    <w:abstractNumId w:val="3"/>
  </w:num>
  <w:num w:numId="33" w16cid:durableId="1643777276">
    <w:abstractNumId w:val="34"/>
  </w:num>
  <w:num w:numId="34" w16cid:durableId="352269829">
    <w:abstractNumId w:val="17"/>
  </w:num>
  <w:num w:numId="35" w16cid:durableId="1262492478">
    <w:abstractNumId w:val="22"/>
  </w:num>
  <w:num w:numId="36" w16cid:durableId="10976725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1E7C"/>
    <w:rsid w:val="00026720"/>
    <w:rsid w:val="00026D08"/>
    <w:rsid w:val="00031509"/>
    <w:rsid w:val="000318F7"/>
    <w:rsid w:val="00037010"/>
    <w:rsid w:val="00047725"/>
    <w:rsid w:val="00055DD2"/>
    <w:rsid w:val="00057478"/>
    <w:rsid w:val="00062688"/>
    <w:rsid w:val="0006736C"/>
    <w:rsid w:val="00074F67"/>
    <w:rsid w:val="000750E7"/>
    <w:rsid w:val="00075A3D"/>
    <w:rsid w:val="00077C8D"/>
    <w:rsid w:val="00083255"/>
    <w:rsid w:val="00085494"/>
    <w:rsid w:val="000962FB"/>
    <w:rsid w:val="00096E43"/>
    <w:rsid w:val="000A7E95"/>
    <w:rsid w:val="000B5910"/>
    <w:rsid w:val="000D07F6"/>
    <w:rsid w:val="000D615C"/>
    <w:rsid w:val="000D61CC"/>
    <w:rsid w:val="000E1A1D"/>
    <w:rsid w:val="000E6A0B"/>
    <w:rsid w:val="000F3B15"/>
    <w:rsid w:val="000F4C20"/>
    <w:rsid w:val="0010719B"/>
    <w:rsid w:val="00107941"/>
    <w:rsid w:val="001130A6"/>
    <w:rsid w:val="0011413D"/>
    <w:rsid w:val="001237B1"/>
    <w:rsid w:val="001239C0"/>
    <w:rsid w:val="00124F2B"/>
    <w:rsid w:val="001376F8"/>
    <w:rsid w:val="00144CA2"/>
    <w:rsid w:val="001451A5"/>
    <w:rsid w:val="0014641C"/>
    <w:rsid w:val="00147247"/>
    <w:rsid w:val="00147518"/>
    <w:rsid w:val="0015434E"/>
    <w:rsid w:val="001559F5"/>
    <w:rsid w:val="001664D7"/>
    <w:rsid w:val="001774BA"/>
    <w:rsid w:val="001844E9"/>
    <w:rsid w:val="001904A6"/>
    <w:rsid w:val="001956FF"/>
    <w:rsid w:val="001A5B50"/>
    <w:rsid w:val="001A798F"/>
    <w:rsid w:val="001B0567"/>
    <w:rsid w:val="001B0812"/>
    <w:rsid w:val="001B0D98"/>
    <w:rsid w:val="001B20FB"/>
    <w:rsid w:val="001B29BA"/>
    <w:rsid w:val="001B6DC0"/>
    <w:rsid w:val="001C504E"/>
    <w:rsid w:val="001C5511"/>
    <w:rsid w:val="001D66DF"/>
    <w:rsid w:val="001E0529"/>
    <w:rsid w:val="001E3E06"/>
    <w:rsid w:val="001E42D7"/>
    <w:rsid w:val="001E7219"/>
    <w:rsid w:val="001F248B"/>
    <w:rsid w:val="001F3C8E"/>
    <w:rsid w:val="002034A6"/>
    <w:rsid w:val="00204EFA"/>
    <w:rsid w:val="002105B2"/>
    <w:rsid w:val="00211D1A"/>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429F"/>
    <w:rsid w:val="002D6654"/>
    <w:rsid w:val="002E152E"/>
    <w:rsid w:val="002E7BB6"/>
    <w:rsid w:val="002F2A8C"/>
    <w:rsid w:val="0030108A"/>
    <w:rsid w:val="003013A2"/>
    <w:rsid w:val="00305D2E"/>
    <w:rsid w:val="00311E97"/>
    <w:rsid w:val="00313392"/>
    <w:rsid w:val="00317C0F"/>
    <w:rsid w:val="003202E6"/>
    <w:rsid w:val="00330AA7"/>
    <w:rsid w:val="003439EC"/>
    <w:rsid w:val="00357EC0"/>
    <w:rsid w:val="00384194"/>
    <w:rsid w:val="003A067E"/>
    <w:rsid w:val="003B0CAC"/>
    <w:rsid w:val="003B7C85"/>
    <w:rsid w:val="003C5B74"/>
    <w:rsid w:val="003D7D30"/>
    <w:rsid w:val="003E35CC"/>
    <w:rsid w:val="003E7878"/>
    <w:rsid w:val="003F12EF"/>
    <w:rsid w:val="003F59A2"/>
    <w:rsid w:val="003F65A8"/>
    <w:rsid w:val="003F6FBA"/>
    <w:rsid w:val="00400051"/>
    <w:rsid w:val="00401AF4"/>
    <w:rsid w:val="00416745"/>
    <w:rsid w:val="00417710"/>
    <w:rsid w:val="0041786D"/>
    <w:rsid w:val="0042067C"/>
    <w:rsid w:val="00420C45"/>
    <w:rsid w:val="00420D7F"/>
    <w:rsid w:val="00425923"/>
    <w:rsid w:val="0042748C"/>
    <w:rsid w:val="00432DF5"/>
    <w:rsid w:val="00433BC6"/>
    <w:rsid w:val="00442B43"/>
    <w:rsid w:val="00445FD6"/>
    <w:rsid w:val="00446132"/>
    <w:rsid w:val="00450AF4"/>
    <w:rsid w:val="00454502"/>
    <w:rsid w:val="00460FF6"/>
    <w:rsid w:val="004622D4"/>
    <w:rsid w:val="004626E6"/>
    <w:rsid w:val="004779E1"/>
    <w:rsid w:val="0049473B"/>
    <w:rsid w:val="00497656"/>
    <w:rsid w:val="004B0186"/>
    <w:rsid w:val="004B62D5"/>
    <w:rsid w:val="004C2187"/>
    <w:rsid w:val="004D1E73"/>
    <w:rsid w:val="004D3DEA"/>
    <w:rsid w:val="004E1C05"/>
    <w:rsid w:val="004E2AA6"/>
    <w:rsid w:val="004F59B0"/>
    <w:rsid w:val="004F71EA"/>
    <w:rsid w:val="005000E5"/>
    <w:rsid w:val="00503BCF"/>
    <w:rsid w:val="005040C5"/>
    <w:rsid w:val="00505F2C"/>
    <w:rsid w:val="00506C5F"/>
    <w:rsid w:val="00514C21"/>
    <w:rsid w:val="00522FF1"/>
    <w:rsid w:val="0052308A"/>
    <w:rsid w:val="0053010B"/>
    <w:rsid w:val="005306C7"/>
    <w:rsid w:val="00530C62"/>
    <w:rsid w:val="00534EAE"/>
    <w:rsid w:val="00536843"/>
    <w:rsid w:val="005465CB"/>
    <w:rsid w:val="00553383"/>
    <w:rsid w:val="005579AA"/>
    <w:rsid w:val="005627FA"/>
    <w:rsid w:val="00562D58"/>
    <w:rsid w:val="005676D6"/>
    <w:rsid w:val="005676DE"/>
    <w:rsid w:val="00574F93"/>
    <w:rsid w:val="00575D38"/>
    <w:rsid w:val="00575FA6"/>
    <w:rsid w:val="00581374"/>
    <w:rsid w:val="0058772C"/>
    <w:rsid w:val="005A2545"/>
    <w:rsid w:val="005A6D25"/>
    <w:rsid w:val="005B3E0A"/>
    <w:rsid w:val="005B5DC6"/>
    <w:rsid w:val="005B740A"/>
    <w:rsid w:val="005C6A45"/>
    <w:rsid w:val="005D0273"/>
    <w:rsid w:val="005D56FF"/>
    <w:rsid w:val="005E57B4"/>
    <w:rsid w:val="005E7CA5"/>
    <w:rsid w:val="005F1B38"/>
    <w:rsid w:val="005F1FDA"/>
    <w:rsid w:val="005F3740"/>
    <w:rsid w:val="00600049"/>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233C"/>
    <w:rsid w:val="00643761"/>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A0839"/>
    <w:rsid w:val="006B3F05"/>
    <w:rsid w:val="006C19FE"/>
    <w:rsid w:val="006C4BD1"/>
    <w:rsid w:val="006C614A"/>
    <w:rsid w:val="006C7F86"/>
    <w:rsid w:val="006E66A2"/>
    <w:rsid w:val="006E75BB"/>
    <w:rsid w:val="006E7C34"/>
    <w:rsid w:val="00702087"/>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B1D3E"/>
    <w:rsid w:val="007B22C4"/>
    <w:rsid w:val="007C2159"/>
    <w:rsid w:val="007C3E5B"/>
    <w:rsid w:val="007C7AD9"/>
    <w:rsid w:val="007D110D"/>
    <w:rsid w:val="007D2DC0"/>
    <w:rsid w:val="007D4EE7"/>
    <w:rsid w:val="007E0BDC"/>
    <w:rsid w:val="0080740F"/>
    <w:rsid w:val="00813C24"/>
    <w:rsid w:val="00820A5E"/>
    <w:rsid w:val="00823028"/>
    <w:rsid w:val="008242DF"/>
    <w:rsid w:val="00841695"/>
    <w:rsid w:val="008519BA"/>
    <w:rsid w:val="00867A27"/>
    <w:rsid w:val="00872E2D"/>
    <w:rsid w:val="00877EA8"/>
    <w:rsid w:val="00880D5F"/>
    <w:rsid w:val="008843F0"/>
    <w:rsid w:val="00890030"/>
    <w:rsid w:val="0089200C"/>
    <w:rsid w:val="008925DA"/>
    <w:rsid w:val="00897470"/>
    <w:rsid w:val="008A4241"/>
    <w:rsid w:val="008A66DE"/>
    <w:rsid w:val="008A6BEF"/>
    <w:rsid w:val="008B3371"/>
    <w:rsid w:val="008B574B"/>
    <w:rsid w:val="008B6B0C"/>
    <w:rsid w:val="008C00A7"/>
    <w:rsid w:val="008C4F1E"/>
    <w:rsid w:val="008D7A27"/>
    <w:rsid w:val="008E0039"/>
    <w:rsid w:val="00901A01"/>
    <w:rsid w:val="00901CA8"/>
    <w:rsid w:val="00903162"/>
    <w:rsid w:val="00927172"/>
    <w:rsid w:val="009429EC"/>
    <w:rsid w:val="00954AE2"/>
    <w:rsid w:val="00963811"/>
    <w:rsid w:val="00964225"/>
    <w:rsid w:val="009652CF"/>
    <w:rsid w:val="0097187E"/>
    <w:rsid w:val="0097462E"/>
    <w:rsid w:val="00976DAE"/>
    <w:rsid w:val="00980516"/>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6112"/>
    <w:rsid w:val="00A06762"/>
    <w:rsid w:val="00A12DAF"/>
    <w:rsid w:val="00A202C6"/>
    <w:rsid w:val="00A21EEF"/>
    <w:rsid w:val="00A31452"/>
    <w:rsid w:val="00A31932"/>
    <w:rsid w:val="00A31DF0"/>
    <w:rsid w:val="00A4102D"/>
    <w:rsid w:val="00A41438"/>
    <w:rsid w:val="00A4408C"/>
    <w:rsid w:val="00A45AEA"/>
    <w:rsid w:val="00A5523C"/>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02E60"/>
    <w:rsid w:val="00B10495"/>
    <w:rsid w:val="00B12F42"/>
    <w:rsid w:val="00B21472"/>
    <w:rsid w:val="00B26634"/>
    <w:rsid w:val="00B27943"/>
    <w:rsid w:val="00B330B1"/>
    <w:rsid w:val="00B34C34"/>
    <w:rsid w:val="00B408A1"/>
    <w:rsid w:val="00B456A6"/>
    <w:rsid w:val="00B46673"/>
    <w:rsid w:val="00B52885"/>
    <w:rsid w:val="00B65F21"/>
    <w:rsid w:val="00B66E35"/>
    <w:rsid w:val="00B70CD2"/>
    <w:rsid w:val="00B74CE4"/>
    <w:rsid w:val="00B77355"/>
    <w:rsid w:val="00B80F6C"/>
    <w:rsid w:val="00B813A2"/>
    <w:rsid w:val="00B86C62"/>
    <w:rsid w:val="00B930BF"/>
    <w:rsid w:val="00BB632C"/>
    <w:rsid w:val="00BB74D5"/>
    <w:rsid w:val="00BC06AA"/>
    <w:rsid w:val="00BC33D7"/>
    <w:rsid w:val="00BC5D3C"/>
    <w:rsid w:val="00BC65D0"/>
    <w:rsid w:val="00BC79FC"/>
    <w:rsid w:val="00BD113A"/>
    <w:rsid w:val="00BD2BF2"/>
    <w:rsid w:val="00BF5DD4"/>
    <w:rsid w:val="00C0398F"/>
    <w:rsid w:val="00C1302F"/>
    <w:rsid w:val="00C17FB3"/>
    <w:rsid w:val="00C20529"/>
    <w:rsid w:val="00C31C30"/>
    <w:rsid w:val="00C3506A"/>
    <w:rsid w:val="00C3644B"/>
    <w:rsid w:val="00C3752F"/>
    <w:rsid w:val="00C5510C"/>
    <w:rsid w:val="00C56797"/>
    <w:rsid w:val="00C57744"/>
    <w:rsid w:val="00C629CF"/>
    <w:rsid w:val="00C67204"/>
    <w:rsid w:val="00C7416B"/>
    <w:rsid w:val="00C815DC"/>
    <w:rsid w:val="00C84720"/>
    <w:rsid w:val="00CA3F86"/>
    <w:rsid w:val="00CA68E9"/>
    <w:rsid w:val="00CC05CD"/>
    <w:rsid w:val="00CC0CEF"/>
    <w:rsid w:val="00CC4CB4"/>
    <w:rsid w:val="00CD4E3D"/>
    <w:rsid w:val="00CD5544"/>
    <w:rsid w:val="00CE0D9F"/>
    <w:rsid w:val="00CE23A9"/>
    <w:rsid w:val="00CE2AE1"/>
    <w:rsid w:val="00CE35EE"/>
    <w:rsid w:val="00CE77E6"/>
    <w:rsid w:val="00CF33F2"/>
    <w:rsid w:val="00D0301E"/>
    <w:rsid w:val="00D22501"/>
    <w:rsid w:val="00D40E72"/>
    <w:rsid w:val="00D44A38"/>
    <w:rsid w:val="00D4760A"/>
    <w:rsid w:val="00D47CBF"/>
    <w:rsid w:val="00D5100A"/>
    <w:rsid w:val="00D518E1"/>
    <w:rsid w:val="00D51EE1"/>
    <w:rsid w:val="00D66B40"/>
    <w:rsid w:val="00D67F8A"/>
    <w:rsid w:val="00D705B9"/>
    <w:rsid w:val="00D72124"/>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E418C"/>
    <w:rsid w:val="00DF0CC3"/>
    <w:rsid w:val="00DF7953"/>
    <w:rsid w:val="00E0063C"/>
    <w:rsid w:val="00E021A0"/>
    <w:rsid w:val="00E022A6"/>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5DEB"/>
    <w:rsid w:val="00ED6CCF"/>
    <w:rsid w:val="00ED7D3F"/>
    <w:rsid w:val="00EE454B"/>
    <w:rsid w:val="00EE4DFC"/>
    <w:rsid w:val="00EF5EE9"/>
    <w:rsid w:val="00F0062A"/>
    <w:rsid w:val="00F20ABF"/>
    <w:rsid w:val="00F20F9B"/>
    <w:rsid w:val="00F22008"/>
    <w:rsid w:val="00F26C12"/>
    <w:rsid w:val="00F35BA1"/>
    <w:rsid w:val="00F378A6"/>
    <w:rsid w:val="00F4157A"/>
    <w:rsid w:val="00F452B4"/>
    <w:rsid w:val="00F5008B"/>
    <w:rsid w:val="00F64C75"/>
    <w:rsid w:val="00F71A4F"/>
    <w:rsid w:val="00F72178"/>
    <w:rsid w:val="00F72A9A"/>
    <w:rsid w:val="00F766C7"/>
    <w:rsid w:val="00F774A1"/>
    <w:rsid w:val="00F86FA4"/>
    <w:rsid w:val="00FA4570"/>
    <w:rsid w:val="00FB3B69"/>
    <w:rsid w:val="00FC0FE0"/>
    <w:rsid w:val="00FC1D9C"/>
    <w:rsid w:val="00FC3164"/>
    <w:rsid w:val="00FC3C1A"/>
    <w:rsid w:val="00FC6110"/>
    <w:rsid w:val="00FD2BE8"/>
    <w:rsid w:val="00FE0443"/>
    <w:rsid w:val="00FE235F"/>
    <w:rsid w:val="00FE5A1C"/>
    <w:rsid w:val="00FF34E5"/>
    <w:rsid w:val="00FF60E9"/>
    <w:rsid w:val="01249D1A"/>
    <w:rsid w:val="02053453"/>
    <w:rsid w:val="044D145B"/>
    <w:rsid w:val="04E37812"/>
    <w:rsid w:val="06D68D5F"/>
    <w:rsid w:val="088C5530"/>
    <w:rsid w:val="0C01D7FE"/>
    <w:rsid w:val="0C4F864B"/>
    <w:rsid w:val="0C7D8021"/>
    <w:rsid w:val="0E7B3EB9"/>
    <w:rsid w:val="1094A94A"/>
    <w:rsid w:val="10ACF8FB"/>
    <w:rsid w:val="13302E2A"/>
    <w:rsid w:val="150BB42E"/>
    <w:rsid w:val="19777228"/>
    <w:rsid w:val="1BEF733F"/>
    <w:rsid w:val="1F5A4507"/>
    <w:rsid w:val="23DD58A2"/>
    <w:rsid w:val="280F2D3A"/>
    <w:rsid w:val="2FAC17E4"/>
    <w:rsid w:val="30333070"/>
    <w:rsid w:val="3A3A4635"/>
    <w:rsid w:val="3AD47E83"/>
    <w:rsid w:val="443FF5BE"/>
    <w:rsid w:val="4A9FC2A0"/>
    <w:rsid w:val="4F1F7174"/>
    <w:rsid w:val="533EEC1B"/>
    <w:rsid w:val="5373E9A4"/>
    <w:rsid w:val="53DDA233"/>
    <w:rsid w:val="59FC22A6"/>
    <w:rsid w:val="5A0B3A09"/>
    <w:rsid w:val="5D5211C2"/>
    <w:rsid w:val="5DBA3C2F"/>
    <w:rsid w:val="5DC78873"/>
    <w:rsid w:val="5E140982"/>
    <w:rsid w:val="63275687"/>
    <w:rsid w:val="64C1848E"/>
    <w:rsid w:val="68F2A381"/>
    <w:rsid w:val="6DC5551B"/>
    <w:rsid w:val="6F0E2A4E"/>
    <w:rsid w:val="6F159AA7"/>
    <w:rsid w:val="7366B4E5"/>
    <w:rsid w:val="7A0CB289"/>
    <w:rsid w:val="7B717FAD"/>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2.xml><?xml version="1.0" encoding="utf-8"?>
<ds:datastoreItem xmlns:ds="http://schemas.openxmlformats.org/officeDocument/2006/customXml" ds:itemID="{93A856BB-023D-4BF2-8D65-4D5984FA2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1300</Words>
  <Characters>7156</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78</cp:revision>
  <cp:lastPrinted>2024-11-28T14:04:00Z</cp:lastPrinted>
  <dcterms:created xsi:type="dcterms:W3CDTF">2025-10-01T15:55:00Z</dcterms:created>
  <dcterms:modified xsi:type="dcterms:W3CDTF">2026-06-11T18:30:00Z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