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65F3DE4C" w14:textId="77777777" w:rsidR="00845294" w:rsidRDefault="00845294" w:rsidP="68F2A381">
      <w:pPr>
        <w:spacing w:after="0" w:line="240" w:lineRule="auto"/>
        <w:jc w:val="center"/>
        <w:rPr>
          <w:rFonts w:ascii="Verdana" w:eastAsia="Verdana" w:hAnsi="Verdana" w:cs="Verdana"/>
          <w:b/>
          <w:bCs/>
          <w:sz w:val="34"/>
          <w:szCs w:val="34"/>
        </w:rPr>
      </w:pPr>
      <w:r w:rsidRPr="00845294">
        <w:rPr>
          <w:rFonts w:ascii="Verdana" w:eastAsia="Verdana" w:hAnsi="Verdana" w:cs="Verdana"/>
          <w:b/>
          <w:bCs/>
          <w:sz w:val="34"/>
          <w:szCs w:val="34"/>
        </w:rPr>
        <w:t>GUÍA PARA ELABORAR ESTUDIOS DE MERCADO</w:t>
      </w:r>
    </w:p>
    <w:p w14:paraId="4C3FB2FD" w14:textId="7A430F57" w:rsidR="00823028" w:rsidRPr="00DD7470" w:rsidRDefault="006E128C"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00</w:t>
      </w:r>
      <w:r w:rsidR="00393D7C">
        <w:rPr>
          <w:rFonts w:ascii="Verdana" w:eastAsia="Verdana" w:hAnsi="Verdana" w:cs="Verdana"/>
          <w:b/>
          <w:bCs/>
          <w:sz w:val="32"/>
          <w:szCs w:val="32"/>
          <w:lang w:val="es-ES"/>
        </w:rPr>
        <w:t>9</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157D8B58" w:rsidR="2FAC17E4" w:rsidRPr="00DD7470" w:rsidRDefault="006E128C" w:rsidP="68F2A381">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Proceso</w:t>
      </w:r>
      <w:r w:rsidR="00B934A0">
        <w:rPr>
          <w:rFonts w:ascii="Verdana" w:eastAsia="Verdana" w:hAnsi="Verdana" w:cs="Verdana"/>
          <w:b/>
          <w:bCs/>
          <w:sz w:val="32"/>
          <w:szCs w:val="32"/>
        </w:rPr>
        <w:t xml:space="preserve"> </w:t>
      </w:r>
      <w:r>
        <w:rPr>
          <w:rFonts w:ascii="Verdana" w:eastAsia="Verdana" w:hAnsi="Verdana" w:cs="Verdana"/>
          <w:b/>
          <w:bCs/>
          <w:sz w:val="32"/>
          <w:szCs w:val="32"/>
        </w:rPr>
        <w:t>Gestión de Recursos</w:t>
      </w:r>
    </w:p>
    <w:p w14:paraId="63BD9B9C" w14:textId="473FAE7A" w:rsidR="00B65F21" w:rsidRPr="00DD7470" w:rsidRDefault="006E128C" w:rsidP="68F2A381">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Junio</w:t>
      </w:r>
      <w:r w:rsidR="009A163B" w:rsidRPr="00DD7470">
        <w:rPr>
          <w:rFonts w:ascii="Verdana" w:eastAsia="Verdana" w:hAnsi="Verdana" w:cs="Verdana"/>
          <w:b/>
          <w:bCs/>
          <w:sz w:val="32"/>
          <w:szCs w:val="32"/>
        </w:rPr>
        <w:t xml:space="preserve"> - </w:t>
      </w:r>
      <w:r>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063A9E7E" w14:textId="5A027C6A" w:rsidR="00845294" w:rsidRPr="00845294" w:rsidRDefault="009652CF">
          <w:pPr>
            <w:pStyle w:val="TOC1"/>
            <w:tabs>
              <w:tab w:val="right" w:leader="dot" w:pos="10790"/>
            </w:tabs>
            <w:rPr>
              <w:rFonts w:eastAsiaTheme="minorEastAsi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10917100" w:history="1">
            <w:r w:rsidR="00845294" w:rsidRPr="00845294">
              <w:rPr>
                <w:rStyle w:val="Hyperlink"/>
                <w:rFonts w:ascii="Verdana" w:eastAsia="Verdana" w:hAnsi="Verdana" w:cs="Verdana"/>
                <w:noProof/>
              </w:rPr>
              <w:t>1. OBJETIVO</w:t>
            </w:r>
            <w:r w:rsidR="00845294" w:rsidRPr="00845294">
              <w:rPr>
                <w:noProof/>
                <w:webHidden/>
              </w:rPr>
              <w:tab/>
            </w:r>
            <w:r w:rsidR="00845294" w:rsidRPr="00845294">
              <w:rPr>
                <w:noProof/>
                <w:webHidden/>
              </w:rPr>
              <w:fldChar w:fldCharType="begin"/>
            </w:r>
            <w:r w:rsidR="00845294" w:rsidRPr="00845294">
              <w:rPr>
                <w:noProof/>
                <w:webHidden/>
              </w:rPr>
              <w:instrText xml:space="preserve"> PAGEREF _Toc210917100 \h </w:instrText>
            </w:r>
            <w:r w:rsidR="00845294" w:rsidRPr="00845294">
              <w:rPr>
                <w:noProof/>
                <w:webHidden/>
              </w:rPr>
            </w:r>
            <w:r w:rsidR="00845294" w:rsidRPr="00845294">
              <w:rPr>
                <w:noProof/>
                <w:webHidden/>
              </w:rPr>
              <w:fldChar w:fldCharType="separate"/>
            </w:r>
            <w:r w:rsidR="00845294" w:rsidRPr="00845294">
              <w:rPr>
                <w:noProof/>
                <w:webHidden/>
              </w:rPr>
              <w:t>3</w:t>
            </w:r>
            <w:r w:rsidR="00845294" w:rsidRPr="00845294">
              <w:rPr>
                <w:noProof/>
                <w:webHidden/>
              </w:rPr>
              <w:fldChar w:fldCharType="end"/>
            </w:r>
          </w:hyperlink>
        </w:p>
        <w:p w14:paraId="11DEF8B4" w14:textId="3E4DCBDE" w:rsidR="00845294" w:rsidRPr="00845294" w:rsidRDefault="00845294">
          <w:pPr>
            <w:pStyle w:val="TOC1"/>
            <w:tabs>
              <w:tab w:val="right" w:leader="dot" w:pos="10790"/>
            </w:tabs>
            <w:rPr>
              <w:rFonts w:eastAsiaTheme="minorEastAsia"/>
              <w:noProof/>
              <w:sz w:val="24"/>
              <w:szCs w:val="24"/>
              <w:lang w:eastAsia="es-CO"/>
            </w:rPr>
          </w:pPr>
          <w:hyperlink w:anchor="_Toc210917101" w:history="1">
            <w:r w:rsidRPr="00845294">
              <w:rPr>
                <w:rStyle w:val="Hyperlink"/>
                <w:rFonts w:ascii="Verdana" w:eastAsia="Verdana" w:hAnsi="Verdana" w:cs="Verdana"/>
                <w:noProof/>
              </w:rPr>
              <w:t>2. ALCANCE</w:t>
            </w:r>
            <w:r w:rsidRPr="00845294">
              <w:rPr>
                <w:noProof/>
                <w:webHidden/>
              </w:rPr>
              <w:tab/>
            </w:r>
            <w:r w:rsidRPr="00845294">
              <w:rPr>
                <w:noProof/>
                <w:webHidden/>
              </w:rPr>
              <w:fldChar w:fldCharType="begin"/>
            </w:r>
            <w:r w:rsidRPr="00845294">
              <w:rPr>
                <w:noProof/>
                <w:webHidden/>
              </w:rPr>
              <w:instrText xml:space="preserve"> PAGEREF _Toc210917101 \h </w:instrText>
            </w:r>
            <w:r w:rsidRPr="00845294">
              <w:rPr>
                <w:noProof/>
                <w:webHidden/>
              </w:rPr>
            </w:r>
            <w:r w:rsidRPr="00845294">
              <w:rPr>
                <w:noProof/>
                <w:webHidden/>
              </w:rPr>
              <w:fldChar w:fldCharType="separate"/>
            </w:r>
            <w:r w:rsidRPr="00845294">
              <w:rPr>
                <w:noProof/>
                <w:webHidden/>
              </w:rPr>
              <w:t>3</w:t>
            </w:r>
            <w:r w:rsidRPr="00845294">
              <w:rPr>
                <w:noProof/>
                <w:webHidden/>
              </w:rPr>
              <w:fldChar w:fldCharType="end"/>
            </w:r>
          </w:hyperlink>
        </w:p>
        <w:p w14:paraId="31F7DC52" w14:textId="1FB2B3D4" w:rsidR="00845294" w:rsidRPr="00845294" w:rsidRDefault="00845294">
          <w:pPr>
            <w:pStyle w:val="TOC1"/>
            <w:tabs>
              <w:tab w:val="right" w:leader="dot" w:pos="10790"/>
            </w:tabs>
            <w:rPr>
              <w:rFonts w:eastAsiaTheme="minorEastAsia"/>
              <w:noProof/>
              <w:sz w:val="24"/>
              <w:szCs w:val="24"/>
              <w:lang w:eastAsia="es-CO"/>
            </w:rPr>
          </w:pPr>
          <w:hyperlink w:anchor="_Toc210917102" w:history="1">
            <w:r w:rsidRPr="00845294">
              <w:rPr>
                <w:rStyle w:val="Hyperlink"/>
                <w:rFonts w:ascii="Verdana" w:eastAsia="Verdana" w:hAnsi="Verdana" w:cs="Verdana"/>
                <w:noProof/>
              </w:rPr>
              <w:t>3. DEFINICIONES</w:t>
            </w:r>
            <w:r w:rsidRPr="00845294">
              <w:rPr>
                <w:noProof/>
                <w:webHidden/>
              </w:rPr>
              <w:tab/>
            </w:r>
            <w:r w:rsidRPr="00845294">
              <w:rPr>
                <w:noProof/>
                <w:webHidden/>
              </w:rPr>
              <w:fldChar w:fldCharType="begin"/>
            </w:r>
            <w:r w:rsidRPr="00845294">
              <w:rPr>
                <w:noProof/>
                <w:webHidden/>
              </w:rPr>
              <w:instrText xml:space="preserve"> PAGEREF _Toc210917102 \h </w:instrText>
            </w:r>
            <w:r w:rsidRPr="00845294">
              <w:rPr>
                <w:noProof/>
                <w:webHidden/>
              </w:rPr>
            </w:r>
            <w:r w:rsidRPr="00845294">
              <w:rPr>
                <w:noProof/>
                <w:webHidden/>
              </w:rPr>
              <w:fldChar w:fldCharType="separate"/>
            </w:r>
            <w:r w:rsidRPr="00845294">
              <w:rPr>
                <w:noProof/>
                <w:webHidden/>
              </w:rPr>
              <w:t>3</w:t>
            </w:r>
            <w:r w:rsidRPr="00845294">
              <w:rPr>
                <w:noProof/>
                <w:webHidden/>
              </w:rPr>
              <w:fldChar w:fldCharType="end"/>
            </w:r>
          </w:hyperlink>
        </w:p>
        <w:p w14:paraId="0CCC01D8" w14:textId="768C2867" w:rsidR="00845294" w:rsidRPr="00845294" w:rsidRDefault="00845294">
          <w:pPr>
            <w:pStyle w:val="TOC1"/>
            <w:tabs>
              <w:tab w:val="right" w:leader="dot" w:pos="10790"/>
            </w:tabs>
            <w:rPr>
              <w:rFonts w:eastAsiaTheme="minorEastAsia"/>
              <w:noProof/>
              <w:sz w:val="24"/>
              <w:szCs w:val="24"/>
              <w:lang w:eastAsia="es-CO"/>
            </w:rPr>
          </w:pPr>
          <w:hyperlink w:anchor="_Toc210917103" w:history="1">
            <w:r w:rsidRPr="00845294">
              <w:rPr>
                <w:rStyle w:val="Hyperlink"/>
                <w:rFonts w:ascii="Verdana" w:eastAsia="Verdana" w:hAnsi="Verdana"/>
                <w:noProof/>
              </w:rPr>
              <w:t>4. CONDICIONES GENERALES</w:t>
            </w:r>
            <w:r w:rsidRPr="00845294">
              <w:rPr>
                <w:noProof/>
                <w:webHidden/>
              </w:rPr>
              <w:tab/>
            </w:r>
            <w:r w:rsidRPr="00845294">
              <w:rPr>
                <w:noProof/>
                <w:webHidden/>
              </w:rPr>
              <w:fldChar w:fldCharType="begin"/>
            </w:r>
            <w:r w:rsidRPr="00845294">
              <w:rPr>
                <w:noProof/>
                <w:webHidden/>
              </w:rPr>
              <w:instrText xml:space="preserve"> PAGEREF _Toc210917103 \h </w:instrText>
            </w:r>
            <w:r w:rsidRPr="00845294">
              <w:rPr>
                <w:noProof/>
                <w:webHidden/>
              </w:rPr>
            </w:r>
            <w:r w:rsidRPr="00845294">
              <w:rPr>
                <w:noProof/>
                <w:webHidden/>
              </w:rPr>
              <w:fldChar w:fldCharType="separate"/>
            </w:r>
            <w:r w:rsidRPr="00845294">
              <w:rPr>
                <w:noProof/>
                <w:webHidden/>
              </w:rPr>
              <w:t>3</w:t>
            </w:r>
            <w:r w:rsidRPr="00845294">
              <w:rPr>
                <w:noProof/>
                <w:webHidden/>
              </w:rPr>
              <w:fldChar w:fldCharType="end"/>
            </w:r>
          </w:hyperlink>
        </w:p>
        <w:p w14:paraId="096F7CF6" w14:textId="1110B153" w:rsidR="00845294" w:rsidRPr="00845294" w:rsidRDefault="00845294">
          <w:pPr>
            <w:pStyle w:val="TOC1"/>
            <w:tabs>
              <w:tab w:val="right" w:leader="dot" w:pos="10790"/>
            </w:tabs>
            <w:rPr>
              <w:rFonts w:eastAsiaTheme="minorEastAsia"/>
              <w:noProof/>
              <w:sz w:val="24"/>
              <w:szCs w:val="24"/>
              <w:lang w:eastAsia="es-CO"/>
            </w:rPr>
          </w:pPr>
          <w:hyperlink w:anchor="_Toc210917104" w:history="1">
            <w:r w:rsidRPr="00845294">
              <w:rPr>
                <w:rStyle w:val="Hyperlink"/>
                <w:rFonts w:ascii="Verdana" w:eastAsia="Verdana" w:hAnsi="Verdana" w:cs="Verdana"/>
                <w:noProof/>
              </w:rPr>
              <w:t>5. DESARROLLO</w:t>
            </w:r>
            <w:r w:rsidRPr="00845294">
              <w:rPr>
                <w:noProof/>
                <w:webHidden/>
              </w:rPr>
              <w:tab/>
            </w:r>
            <w:r w:rsidRPr="00845294">
              <w:rPr>
                <w:noProof/>
                <w:webHidden/>
              </w:rPr>
              <w:fldChar w:fldCharType="begin"/>
            </w:r>
            <w:r w:rsidRPr="00845294">
              <w:rPr>
                <w:noProof/>
                <w:webHidden/>
              </w:rPr>
              <w:instrText xml:space="preserve"> PAGEREF _Toc210917104 \h </w:instrText>
            </w:r>
            <w:r w:rsidRPr="00845294">
              <w:rPr>
                <w:noProof/>
                <w:webHidden/>
              </w:rPr>
            </w:r>
            <w:r w:rsidRPr="00845294">
              <w:rPr>
                <w:noProof/>
                <w:webHidden/>
              </w:rPr>
              <w:fldChar w:fldCharType="separate"/>
            </w:r>
            <w:r w:rsidRPr="00845294">
              <w:rPr>
                <w:noProof/>
                <w:webHidden/>
              </w:rPr>
              <w:t>5</w:t>
            </w:r>
            <w:r w:rsidRPr="00845294">
              <w:rPr>
                <w:noProof/>
                <w:webHidden/>
              </w:rPr>
              <w:fldChar w:fldCharType="end"/>
            </w:r>
          </w:hyperlink>
        </w:p>
        <w:p w14:paraId="15199368" w14:textId="7709D91B" w:rsidR="00845294" w:rsidRPr="00845294" w:rsidRDefault="00845294">
          <w:pPr>
            <w:pStyle w:val="TOC1"/>
            <w:tabs>
              <w:tab w:val="right" w:leader="dot" w:pos="10790"/>
            </w:tabs>
            <w:rPr>
              <w:rFonts w:eastAsiaTheme="minorEastAsia"/>
              <w:noProof/>
              <w:sz w:val="24"/>
              <w:szCs w:val="24"/>
              <w:lang w:eastAsia="es-CO"/>
            </w:rPr>
          </w:pPr>
          <w:hyperlink w:anchor="_Toc210917105" w:history="1">
            <w:r w:rsidRPr="00845294">
              <w:rPr>
                <w:rStyle w:val="Hyperlink"/>
                <w:rFonts w:ascii="Verdana" w:eastAsia="Verdana" w:hAnsi="Verdana"/>
                <w:noProof/>
              </w:rPr>
              <w:t>5.1 ESTUDIO DE MERCADO:</w:t>
            </w:r>
            <w:r w:rsidRPr="00845294">
              <w:rPr>
                <w:noProof/>
                <w:webHidden/>
              </w:rPr>
              <w:tab/>
            </w:r>
            <w:r w:rsidRPr="00845294">
              <w:rPr>
                <w:noProof/>
                <w:webHidden/>
              </w:rPr>
              <w:fldChar w:fldCharType="begin"/>
            </w:r>
            <w:r w:rsidRPr="00845294">
              <w:rPr>
                <w:noProof/>
                <w:webHidden/>
              </w:rPr>
              <w:instrText xml:space="preserve"> PAGEREF _Toc210917105 \h </w:instrText>
            </w:r>
            <w:r w:rsidRPr="00845294">
              <w:rPr>
                <w:noProof/>
                <w:webHidden/>
              </w:rPr>
            </w:r>
            <w:r w:rsidRPr="00845294">
              <w:rPr>
                <w:noProof/>
                <w:webHidden/>
              </w:rPr>
              <w:fldChar w:fldCharType="separate"/>
            </w:r>
            <w:r w:rsidRPr="00845294">
              <w:rPr>
                <w:noProof/>
                <w:webHidden/>
              </w:rPr>
              <w:t>5</w:t>
            </w:r>
            <w:r w:rsidRPr="00845294">
              <w:rPr>
                <w:noProof/>
                <w:webHidden/>
              </w:rPr>
              <w:fldChar w:fldCharType="end"/>
            </w:r>
          </w:hyperlink>
        </w:p>
        <w:p w14:paraId="1138AC70" w14:textId="17E92504" w:rsidR="00845294" w:rsidRPr="00845294" w:rsidRDefault="00845294">
          <w:pPr>
            <w:pStyle w:val="TOC1"/>
            <w:tabs>
              <w:tab w:val="right" w:leader="dot" w:pos="10790"/>
            </w:tabs>
            <w:rPr>
              <w:rFonts w:eastAsiaTheme="minorEastAsia"/>
              <w:noProof/>
              <w:sz w:val="24"/>
              <w:szCs w:val="24"/>
              <w:lang w:eastAsia="es-CO"/>
            </w:rPr>
          </w:pPr>
          <w:hyperlink w:anchor="_Toc210917106" w:history="1">
            <w:r w:rsidRPr="00845294">
              <w:rPr>
                <w:rStyle w:val="Hyperlink"/>
                <w:rFonts w:ascii="Verdana" w:eastAsia="Verdana" w:hAnsi="Verdana" w:cs="Verdana"/>
                <w:noProof/>
              </w:rPr>
              <w:t>6. HISTORIAL DE CAMBIOS</w:t>
            </w:r>
            <w:r w:rsidRPr="00845294">
              <w:rPr>
                <w:noProof/>
                <w:webHidden/>
              </w:rPr>
              <w:tab/>
            </w:r>
            <w:r w:rsidRPr="00845294">
              <w:rPr>
                <w:noProof/>
                <w:webHidden/>
              </w:rPr>
              <w:fldChar w:fldCharType="begin"/>
            </w:r>
            <w:r w:rsidRPr="00845294">
              <w:rPr>
                <w:noProof/>
                <w:webHidden/>
              </w:rPr>
              <w:instrText xml:space="preserve"> PAGEREF _Toc210917106 \h </w:instrText>
            </w:r>
            <w:r w:rsidRPr="00845294">
              <w:rPr>
                <w:noProof/>
                <w:webHidden/>
              </w:rPr>
            </w:r>
            <w:r w:rsidRPr="00845294">
              <w:rPr>
                <w:noProof/>
                <w:webHidden/>
              </w:rPr>
              <w:fldChar w:fldCharType="separate"/>
            </w:r>
            <w:r w:rsidRPr="00845294">
              <w:rPr>
                <w:noProof/>
                <w:webHidden/>
              </w:rPr>
              <w:t>7</w:t>
            </w:r>
            <w:r w:rsidRPr="00845294">
              <w:rPr>
                <w:noProof/>
                <w:webHidden/>
              </w:rPr>
              <w:fldChar w:fldCharType="end"/>
            </w:r>
          </w:hyperlink>
        </w:p>
        <w:p w14:paraId="17587CEC" w14:textId="463C0C3E" w:rsidR="009652CF" w:rsidRPr="00DD7470" w:rsidRDefault="009652CF" w:rsidP="68F2A381">
          <w:pPr>
            <w:spacing w:line="240" w:lineRule="auto"/>
            <w:rPr>
              <w:rFonts w:ascii="Verdana" w:eastAsia="Verdana" w:hAnsi="Verdana" w:cs="Verdana"/>
              <w:sz w:val="20"/>
              <w:szCs w:val="20"/>
            </w:rPr>
          </w:pPr>
          <w:r w:rsidRPr="00DD7470">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05C2B060" w14:textId="77777777" w:rsidR="007102BB" w:rsidRDefault="007102BB" w:rsidP="68F2A381">
      <w:pPr>
        <w:spacing w:after="0" w:line="240" w:lineRule="auto"/>
        <w:ind w:left="708" w:hanging="708"/>
        <w:rPr>
          <w:b/>
          <w:bCs/>
          <w:lang w:val="es-ES"/>
        </w:rPr>
      </w:pPr>
    </w:p>
    <w:p w14:paraId="0CD0478D" w14:textId="77777777" w:rsidR="007102BB" w:rsidRDefault="007102BB" w:rsidP="68F2A381">
      <w:pPr>
        <w:spacing w:after="0" w:line="240" w:lineRule="auto"/>
        <w:ind w:left="708" w:hanging="708"/>
        <w:rPr>
          <w:b/>
          <w:bCs/>
          <w:lang w:val="es-ES"/>
        </w:rPr>
      </w:pPr>
    </w:p>
    <w:p w14:paraId="47191C01" w14:textId="77777777" w:rsidR="007102BB" w:rsidRDefault="007102BB" w:rsidP="68F2A381">
      <w:pPr>
        <w:spacing w:after="0" w:line="240" w:lineRule="auto"/>
        <w:ind w:left="708" w:hanging="708"/>
        <w:rPr>
          <w:b/>
          <w:bCs/>
          <w:lang w:val="es-ES"/>
        </w:rPr>
      </w:pPr>
    </w:p>
    <w:p w14:paraId="1C590244" w14:textId="77777777" w:rsidR="007102BB" w:rsidRDefault="007102BB" w:rsidP="68F2A381">
      <w:pPr>
        <w:spacing w:after="0" w:line="240" w:lineRule="auto"/>
        <w:ind w:left="708" w:hanging="708"/>
        <w:rPr>
          <w:b/>
          <w:bCs/>
          <w:lang w:val="es-ES"/>
        </w:rPr>
      </w:pPr>
    </w:p>
    <w:p w14:paraId="4EDB3968" w14:textId="77777777" w:rsidR="007102BB" w:rsidRDefault="007102BB" w:rsidP="68F2A381">
      <w:pPr>
        <w:spacing w:after="0" w:line="240" w:lineRule="auto"/>
        <w:ind w:left="708" w:hanging="708"/>
        <w:rPr>
          <w:b/>
          <w:bCs/>
          <w:lang w:val="es-ES"/>
        </w:rPr>
      </w:pPr>
    </w:p>
    <w:p w14:paraId="7A217729" w14:textId="77777777" w:rsidR="007102BB" w:rsidRDefault="007102BB" w:rsidP="68F2A381">
      <w:pPr>
        <w:spacing w:after="0" w:line="240" w:lineRule="auto"/>
        <w:ind w:left="708" w:hanging="708"/>
        <w:rPr>
          <w:b/>
          <w:bCs/>
          <w:lang w:val="es-ES"/>
        </w:rPr>
      </w:pPr>
    </w:p>
    <w:p w14:paraId="27E43097" w14:textId="77777777" w:rsidR="007102BB" w:rsidRDefault="007102BB" w:rsidP="68F2A381">
      <w:pPr>
        <w:spacing w:after="0" w:line="240" w:lineRule="auto"/>
        <w:ind w:left="708" w:hanging="708"/>
        <w:rPr>
          <w:b/>
          <w:bCs/>
          <w:lang w:val="es-ES"/>
        </w:rPr>
      </w:pPr>
    </w:p>
    <w:p w14:paraId="52DD9610" w14:textId="77777777" w:rsidR="007102BB" w:rsidRDefault="007102BB" w:rsidP="68F2A381">
      <w:pPr>
        <w:spacing w:after="0" w:line="240" w:lineRule="auto"/>
        <w:ind w:left="708" w:hanging="708"/>
        <w:rPr>
          <w:b/>
          <w:bCs/>
          <w:lang w:val="es-ES"/>
        </w:rPr>
      </w:pPr>
    </w:p>
    <w:p w14:paraId="44FBFEC1" w14:textId="77777777" w:rsidR="007102BB" w:rsidRDefault="007102BB" w:rsidP="68F2A381">
      <w:pPr>
        <w:spacing w:after="0" w:line="240" w:lineRule="auto"/>
        <w:ind w:left="708" w:hanging="708"/>
        <w:rPr>
          <w:b/>
          <w:bCs/>
          <w:lang w:val="es-ES"/>
        </w:rPr>
      </w:pPr>
    </w:p>
    <w:p w14:paraId="6210ABEA" w14:textId="77777777" w:rsidR="007102BB" w:rsidRPr="00DD7470" w:rsidRDefault="007102BB" w:rsidP="68F2A381">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2F188384" w14:textId="503B8461" w:rsidR="00F22008" w:rsidRDefault="00F22008" w:rsidP="00C629CF">
      <w:pPr>
        <w:spacing w:after="0" w:line="240" w:lineRule="auto"/>
        <w:rPr>
          <w:b/>
          <w:bCs/>
          <w:lang w:val="es-ES"/>
        </w:rPr>
      </w:pPr>
    </w:p>
    <w:p w14:paraId="6A0F561B" w14:textId="77777777" w:rsidR="00845294" w:rsidRDefault="00845294" w:rsidP="00C629CF">
      <w:pPr>
        <w:spacing w:after="0" w:line="240" w:lineRule="auto"/>
        <w:rPr>
          <w:b/>
          <w:bCs/>
          <w:lang w:val="es-ES"/>
        </w:rPr>
      </w:pPr>
    </w:p>
    <w:p w14:paraId="3A38EAA4" w14:textId="77777777" w:rsidR="00845294" w:rsidRPr="00DD7470" w:rsidRDefault="00845294" w:rsidP="00C629CF">
      <w:pPr>
        <w:spacing w:after="0" w:line="240" w:lineRule="auto"/>
        <w:rPr>
          <w:b/>
          <w:bCs/>
          <w:lang w:val="es-ES"/>
        </w:rPr>
      </w:pPr>
    </w:p>
    <w:p w14:paraId="4A670A41" w14:textId="05550B05" w:rsidR="00845294" w:rsidRPr="00845294" w:rsidRDefault="00F71A4F" w:rsidP="00845294">
      <w:pPr>
        <w:pStyle w:val="Heading1"/>
        <w:rPr>
          <w:rFonts w:ascii="Verdana" w:eastAsia="Verdana" w:hAnsi="Verdana" w:cs="Verdana"/>
          <w:b/>
          <w:bCs/>
          <w:color w:val="auto"/>
          <w:sz w:val="22"/>
          <w:szCs w:val="22"/>
          <w:lang w:val="es-ES"/>
        </w:rPr>
      </w:pPr>
      <w:bookmarkStart w:id="0" w:name="_Toc210917100"/>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p>
    <w:p w14:paraId="6BB11D21" w14:textId="2A946794" w:rsidR="00845294" w:rsidRDefault="00845294" w:rsidP="00F71A4F">
      <w:pPr>
        <w:spacing w:after="0" w:line="240" w:lineRule="auto"/>
        <w:jc w:val="both"/>
        <w:rPr>
          <w:rFonts w:ascii="Verdana" w:eastAsia="Verdana" w:hAnsi="Verdana" w:cs="Verdana"/>
        </w:rPr>
      </w:pPr>
      <w:r w:rsidRPr="00845294">
        <w:rPr>
          <w:rFonts w:ascii="Verdana" w:eastAsia="Verdana" w:hAnsi="Verdana" w:cs="Verdana"/>
        </w:rPr>
        <w:t>Establecer los parámetros generales para que las áreas solicitantes, y demás personas que intervienen en la elaboración de estudios previos de la Entidad, conozcan el procedimiento para la elaboración de estudios de mercado.</w:t>
      </w:r>
    </w:p>
    <w:p w14:paraId="03FFA302" w14:textId="1D60B8C0" w:rsidR="00F71A4F" w:rsidRPr="00DD7470" w:rsidRDefault="00F71A4F" w:rsidP="00F71A4F">
      <w:pPr>
        <w:pStyle w:val="Heading1"/>
        <w:rPr>
          <w:rFonts w:ascii="Verdana" w:eastAsia="Verdana" w:hAnsi="Verdana" w:cs="Verdana"/>
          <w:b/>
          <w:bCs/>
          <w:color w:val="auto"/>
          <w:sz w:val="22"/>
          <w:szCs w:val="22"/>
          <w:lang w:val="es-ES"/>
        </w:rPr>
      </w:pPr>
      <w:bookmarkStart w:id="1" w:name="_Toc210917101"/>
      <w:r>
        <w:rPr>
          <w:rFonts w:ascii="Verdana" w:eastAsia="Verdana" w:hAnsi="Verdana" w:cs="Verdana"/>
          <w:b/>
          <w:bCs/>
          <w:color w:val="auto"/>
          <w:sz w:val="22"/>
          <w:szCs w:val="22"/>
        </w:rPr>
        <w:t>2. ALCANCE</w:t>
      </w:r>
      <w:bookmarkEnd w:id="1"/>
    </w:p>
    <w:p w14:paraId="55D63DC4" w14:textId="29D2CFC2" w:rsidR="00845294" w:rsidRPr="00845294" w:rsidRDefault="00845294" w:rsidP="00F71A4F">
      <w:pPr>
        <w:spacing w:after="0" w:line="240" w:lineRule="auto"/>
        <w:jc w:val="both"/>
        <w:rPr>
          <w:rFonts w:ascii="Verdana" w:eastAsia="Verdana" w:hAnsi="Verdana" w:cs="Verdana"/>
        </w:rPr>
      </w:pPr>
      <w:r w:rsidRPr="00845294">
        <w:rPr>
          <w:rFonts w:ascii="Verdana" w:eastAsia="Verdana" w:hAnsi="Verdana" w:cs="Verdana"/>
        </w:rPr>
        <w:t>Aplica</w:t>
      </w:r>
      <w:r w:rsidR="00BC3A68">
        <w:rPr>
          <w:rFonts w:ascii="Verdana" w:eastAsia="Verdana" w:hAnsi="Verdana" w:cs="Verdana"/>
        </w:rPr>
        <w:t xml:space="preserve"> </w:t>
      </w:r>
      <w:r w:rsidRPr="00845294">
        <w:rPr>
          <w:rFonts w:ascii="Verdana" w:eastAsia="Verdana" w:hAnsi="Verdana" w:cs="Verdana"/>
        </w:rPr>
        <w:t>para las Dependencias de Apoyo solicitantes de la contratación. </w:t>
      </w:r>
    </w:p>
    <w:p w14:paraId="301BC8C7" w14:textId="57DF15A1" w:rsidR="00F71A4F" w:rsidRPr="00DD7470" w:rsidRDefault="00F71A4F" w:rsidP="00F71A4F">
      <w:pPr>
        <w:pStyle w:val="Heading1"/>
        <w:rPr>
          <w:rFonts w:ascii="Verdana" w:eastAsia="Verdana" w:hAnsi="Verdana" w:cs="Verdana"/>
          <w:b/>
          <w:bCs/>
          <w:color w:val="auto"/>
          <w:sz w:val="22"/>
          <w:szCs w:val="22"/>
          <w:lang w:val="es-ES"/>
        </w:rPr>
      </w:pPr>
      <w:bookmarkStart w:id="2" w:name="_Toc210917102"/>
      <w:r>
        <w:rPr>
          <w:rFonts w:ascii="Verdana" w:eastAsia="Verdana" w:hAnsi="Verdana" w:cs="Verdana"/>
          <w:b/>
          <w:bCs/>
          <w:color w:val="auto"/>
          <w:sz w:val="22"/>
          <w:szCs w:val="22"/>
        </w:rPr>
        <w:t>3. DEFINICIONES</w:t>
      </w:r>
      <w:bookmarkEnd w:id="2"/>
    </w:p>
    <w:p w14:paraId="79543DF7" w14:textId="77777777" w:rsidR="00F71A4F" w:rsidRDefault="00F71A4F" w:rsidP="00F71A4F">
      <w:pPr>
        <w:spacing w:after="0" w:line="240" w:lineRule="auto"/>
        <w:jc w:val="both"/>
        <w:rPr>
          <w:rFonts w:ascii="Verdana" w:eastAsia="Verdana" w:hAnsi="Verdana" w:cs="Verdana"/>
        </w:rPr>
      </w:pPr>
    </w:p>
    <w:p w14:paraId="673CCEFF" w14:textId="5B55411B" w:rsidR="00845294" w:rsidRDefault="00845294" w:rsidP="00845294">
      <w:pPr>
        <w:spacing w:after="0" w:line="240" w:lineRule="auto"/>
        <w:jc w:val="both"/>
        <w:rPr>
          <w:rFonts w:ascii="Verdana" w:eastAsia="Verdana" w:hAnsi="Verdana" w:cs="Verdana"/>
        </w:rPr>
      </w:pPr>
      <w:r w:rsidRPr="00845294">
        <w:rPr>
          <w:rFonts w:ascii="Verdana" w:eastAsia="Verdana" w:hAnsi="Verdana" w:cs="Verdana"/>
          <w:b/>
          <w:bCs/>
        </w:rPr>
        <w:t>ESTUDIO DE MERCADO</w:t>
      </w:r>
      <w:r>
        <w:rPr>
          <w:rFonts w:ascii="Verdana" w:eastAsia="Verdana" w:hAnsi="Verdana" w:cs="Verdana"/>
          <w:b/>
          <w:bCs/>
        </w:rPr>
        <w:t>:</w:t>
      </w:r>
      <w:r w:rsidRPr="00845294">
        <w:rPr>
          <w:rFonts w:ascii="Arial" w:hAnsi="Arial" w:cs="Arial"/>
          <w:color w:val="333333"/>
          <w:sz w:val="17"/>
          <w:szCs w:val="17"/>
        </w:rPr>
        <w:t xml:space="preserve"> </w:t>
      </w:r>
      <w:r w:rsidRPr="00845294">
        <w:rPr>
          <w:rFonts w:ascii="Verdana" w:eastAsia="Verdana" w:hAnsi="Verdana" w:cs="Verdana"/>
        </w:rPr>
        <w:t>Es la consulta y análisis de proveedores, competidores, de un bien o servicio a contratar con sus especificaciones técnicas detalladas, para establecer un presupuesto oficial estimado; es un trámite previo que hace parte del documento de estudios previos de cada contratación.</w:t>
      </w:r>
    </w:p>
    <w:p w14:paraId="0166CC1C" w14:textId="77777777" w:rsidR="00845294" w:rsidRPr="00845294" w:rsidRDefault="00845294" w:rsidP="00845294">
      <w:pPr>
        <w:spacing w:after="0" w:line="240" w:lineRule="auto"/>
        <w:jc w:val="both"/>
        <w:rPr>
          <w:rFonts w:ascii="Verdana" w:eastAsia="Verdana" w:hAnsi="Verdana" w:cs="Verdana"/>
          <w:b/>
          <w:bCs/>
        </w:rPr>
      </w:pPr>
    </w:p>
    <w:p w14:paraId="1473A0C8" w14:textId="227407AE" w:rsidR="00F71A4F" w:rsidRPr="00845294" w:rsidRDefault="00845294" w:rsidP="00845294">
      <w:pPr>
        <w:spacing w:after="0" w:line="240" w:lineRule="auto"/>
        <w:jc w:val="both"/>
        <w:rPr>
          <w:rFonts w:ascii="Verdana" w:eastAsia="Verdana" w:hAnsi="Verdana" w:cs="Verdana"/>
          <w:b/>
          <w:bCs/>
        </w:rPr>
      </w:pPr>
      <w:r w:rsidRPr="00845294">
        <w:rPr>
          <w:rFonts w:ascii="Verdana" w:eastAsia="Verdana" w:hAnsi="Verdana" w:cs="Verdana"/>
          <w:b/>
          <w:bCs/>
        </w:rPr>
        <w:t>MANUAL DE CONTRATACIÓN</w:t>
      </w:r>
      <w:r>
        <w:rPr>
          <w:rFonts w:ascii="Verdana" w:eastAsia="Verdana" w:hAnsi="Verdana" w:cs="Verdana"/>
          <w:b/>
          <w:bCs/>
        </w:rPr>
        <w:t xml:space="preserve">: </w:t>
      </w:r>
      <w:r w:rsidRPr="00845294">
        <w:rPr>
          <w:rFonts w:ascii="Verdana" w:eastAsia="Verdana" w:hAnsi="Verdana" w:cs="Verdana"/>
        </w:rPr>
        <w:t>El manual de Contratación es la expresión de la autoorganización de la entidad, que se limita a la regulación de las relaciones inter-orgánicas, con el objeto de reglamentar los aspectos administrativos del trámite y desarrollo contractual (C.E. sec III, sent 14/04/10, radicado 36054B). Igualmente establece las funciones de supervisión y vigilancia de los supervisores e interventores en materia contractual.</w:t>
      </w:r>
    </w:p>
    <w:p w14:paraId="48FA4AA1" w14:textId="7B09ADF9" w:rsidR="00F71A4F" w:rsidRPr="009F6E54" w:rsidRDefault="00F71A4F" w:rsidP="009F6E54">
      <w:pPr>
        <w:pStyle w:val="Heading1"/>
        <w:rPr>
          <w:rFonts w:ascii="Verdana" w:eastAsia="Verdana" w:hAnsi="Verdana"/>
          <w:b/>
          <w:bCs/>
          <w:sz w:val="22"/>
          <w:szCs w:val="22"/>
        </w:rPr>
      </w:pPr>
      <w:bookmarkStart w:id="3" w:name="_Toc210917103"/>
      <w:r w:rsidRPr="009F6E54">
        <w:rPr>
          <w:rFonts w:ascii="Verdana" w:eastAsia="Verdana" w:hAnsi="Verdana"/>
          <w:b/>
          <w:bCs/>
          <w:color w:val="auto"/>
          <w:sz w:val="22"/>
          <w:szCs w:val="22"/>
        </w:rPr>
        <w:t xml:space="preserve">4. </w:t>
      </w:r>
      <w:r w:rsidR="00845294">
        <w:rPr>
          <w:rFonts w:ascii="Verdana" w:eastAsia="Verdana" w:hAnsi="Verdana"/>
          <w:b/>
          <w:bCs/>
          <w:color w:val="auto"/>
          <w:sz w:val="22"/>
          <w:szCs w:val="22"/>
        </w:rPr>
        <w:t>CONDICIONES GENERALES</w:t>
      </w:r>
      <w:bookmarkEnd w:id="3"/>
    </w:p>
    <w:p w14:paraId="40BEA932" w14:textId="77777777" w:rsidR="00F71A4F" w:rsidRDefault="00F71A4F" w:rsidP="00F71A4F">
      <w:pPr>
        <w:spacing w:after="0" w:line="240" w:lineRule="auto"/>
        <w:jc w:val="both"/>
        <w:rPr>
          <w:rFonts w:ascii="Verdana" w:eastAsia="Verdana" w:hAnsi="Verdana" w:cs="Verdana"/>
        </w:rPr>
      </w:pPr>
    </w:p>
    <w:p w14:paraId="1D4C8912"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Las condiciones generales están determinadas por el contenido del contrato que obra como ley para las partes y por:</w:t>
      </w:r>
    </w:p>
    <w:p w14:paraId="1C333B80" w14:textId="77777777" w:rsidR="00845294" w:rsidRPr="00845294" w:rsidRDefault="00845294" w:rsidP="00845294">
      <w:pPr>
        <w:spacing w:after="0" w:line="240" w:lineRule="auto"/>
        <w:jc w:val="both"/>
        <w:rPr>
          <w:rFonts w:ascii="Verdana" w:eastAsia="Verdana" w:hAnsi="Verdana" w:cs="Verdana"/>
        </w:rPr>
      </w:pPr>
    </w:p>
    <w:p w14:paraId="747E6DAC"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4.1.1. PRINCIPIO CONSTITUCIONAL</w:t>
      </w:r>
    </w:p>
    <w:p w14:paraId="314246F6"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Artículo 209 De la Función Administrativa</w:t>
      </w:r>
    </w:p>
    <w:p w14:paraId="56A91F5C"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4.1.2. PRINCIPIOS LEGALES</w:t>
      </w:r>
    </w:p>
    <w:p w14:paraId="3124FE04"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4.1.2.1 LEY 80 1993</w:t>
      </w:r>
    </w:p>
    <w:p w14:paraId="7331A103"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Artículo 23. De los Principios de las Actuaciones Contractuales de las Entidades Estatales.</w:t>
      </w:r>
    </w:p>
    <w:p w14:paraId="51FAEDD2"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Artículo 24. Del Principio de Transparencia.</w:t>
      </w:r>
    </w:p>
    <w:p w14:paraId="22826356"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Artículo 25. Del Principio de Economía.</w:t>
      </w:r>
    </w:p>
    <w:p w14:paraId="7F29B01B"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Artículo 26. Del Principio de Responsabilidad.</w:t>
      </w:r>
    </w:p>
    <w:p w14:paraId="7D560227"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4.1.2.2. LEY 1150 2007</w:t>
      </w:r>
    </w:p>
    <w:p w14:paraId="679D863B"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Artículo 8. Del Principio de Publicidad en la Contratación Estatal.</w:t>
      </w:r>
    </w:p>
    <w:p w14:paraId="21336D36"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Artículo 17. Del Derecho al Debido Proceso.</w:t>
      </w:r>
    </w:p>
    <w:p w14:paraId="4CF17A0C"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Ley 29 1990</w:t>
      </w:r>
    </w:p>
    <w:p w14:paraId="66E3F87F"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Ley 80 de 1993.</w:t>
      </w:r>
    </w:p>
    <w:p w14:paraId="52C10DAE"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Ley 361 de 1997</w:t>
      </w:r>
    </w:p>
    <w:p w14:paraId="5336BB7B"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Ley 527 1999</w:t>
      </w:r>
    </w:p>
    <w:p w14:paraId="75C32D68"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lastRenderedPageBreak/>
        <w:t>Ley 734 del 2002</w:t>
      </w:r>
    </w:p>
    <w:p w14:paraId="5BB1D2CF"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Ley 951 2005</w:t>
      </w:r>
    </w:p>
    <w:p w14:paraId="4FF13BEB"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Ley 1150 de 2007</w:t>
      </w:r>
    </w:p>
    <w:p w14:paraId="749495B6"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Ley 1346 de 2009.</w:t>
      </w:r>
    </w:p>
    <w:p w14:paraId="0340642D"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Ley 1474 de 2011</w:t>
      </w:r>
    </w:p>
    <w:p w14:paraId="584FCBF7"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Decreto-Ley 591 1991</w:t>
      </w:r>
    </w:p>
    <w:p w14:paraId="0850B6BA"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Decreto-Ley 393 de 1991</w:t>
      </w:r>
    </w:p>
    <w:p w14:paraId="1B7EA895"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Decreto - Ley 019 2012.</w:t>
      </w:r>
    </w:p>
    <w:p w14:paraId="651619A5"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Ley 1508 2012</w:t>
      </w:r>
    </w:p>
    <w:p w14:paraId="1BE2ADA7"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Ley 1562 de 2012</w:t>
      </w:r>
    </w:p>
    <w:p w14:paraId="622CA9EC"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Ley 1805 de 2012</w:t>
      </w:r>
    </w:p>
    <w:p w14:paraId="667F9CCC"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Ley 1563 2012</w:t>
      </w:r>
    </w:p>
    <w:p w14:paraId="48AF24B0"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Ley 1581 de 2012</w:t>
      </w:r>
    </w:p>
    <w:p w14:paraId="021F40F8"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Ley 1618 de 2013</w:t>
      </w:r>
    </w:p>
    <w:p w14:paraId="040C1315"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Conpes 3700 "Estrategia Institucional para la articulación de Políticas y Acciones en materia de Cambio Climatico en Colombia"</w:t>
      </w:r>
    </w:p>
    <w:p w14:paraId="5E44CDD1"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Conpes 3248 "Renovación de la Admon Pública"</w:t>
      </w:r>
    </w:p>
    <w:p w14:paraId="1098BCD0"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Conpes 3249 "Politicas de Contratación Pública para un Estado Gerencial.</w:t>
      </w:r>
    </w:p>
    <w:p w14:paraId="4E901F59"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Conpes 3714 "Del Riesgo Previsible en el Marco de la Política de Contratación Pública".</w:t>
      </w:r>
    </w:p>
    <w:p w14:paraId="0A0F847C"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Conpes 3186 " Una Política de Estado para la eficiencia y la transparencia en la Contratación"</w:t>
      </w:r>
    </w:p>
    <w:p w14:paraId="105A32C9"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Conpes 167 "Estratégia Nacional de la Política Pública Integral de Anticorrupción".</w:t>
      </w:r>
    </w:p>
    <w:p w14:paraId="6F5B0329"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Conpes 166 " Política Pública de Discapacidad e Inclusión Social"</w:t>
      </w:r>
    </w:p>
    <w:p w14:paraId="11953A4D"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Decreto 1737 1998</w:t>
      </w:r>
    </w:p>
    <w:p w14:paraId="24EA5FEF"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Decreto 777 1992</w:t>
      </w:r>
    </w:p>
    <w:p w14:paraId="4E6F23FF"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Decreto 1403 1992</w:t>
      </w:r>
    </w:p>
    <w:p w14:paraId="18C4D51E"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Decreto 2459 1993</w:t>
      </w:r>
    </w:p>
    <w:p w14:paraId="52308D74"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Decreto 1670 2007</w:t>
      </w:r>
    </w:p>
    <w:p w14:paraId="2BAF85C4"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Decreto 2680 2009</w:t>
      </w:r>
    </w:p>
    <w:p w14:paraId="07AB75E4"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Decreto 2842 2010</w:t>
      </w:r>
    </w:p>
    <w:p w14:paraId="57D65C75"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Decreto 3485 2011</w:t>
      </w:r>
    </w:p>
    <w:p w14:paraId="55A5C9EC"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Decreto 723 de 2013.</w:t>
      </w:r>
    </w:p>
    <w:p w14:paraId="54403F45"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Decreto 1082 de 2015</w:t>
      </w:r>
    </w:p>
    <w:p w14:paraId="3FC8206B"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Resolución 3260 2008.</w:t>
      </w:r>
    </w:p>
    <w:p w14:paraId="7B90875A"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Resolución 5674 2005 Contraloría</w:t>
      </w:r>
    </w:p>
    <w:p w14:paraId="72A589C5"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Resolución 2649 2006</w:t>
      </w:r>
    </w:p>
    <w:p w14:paraId="53A330FE"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Resolución 1390 2009</w:t>
      </w:r>
    </w:p>
    <w:p w14:paraId="369B65CD"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Resolución 2310 2009</w:t>
      </w:r>
    </w:p>
    <w:p w14:paraId="029D4809"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Resolución 331 2010</w:t>
      </w:r>
    </w:p>
    <w:p w14:paraId="66E13D96"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Resolución 4300 2012 Cancillería</w:t>
      </w:r>
    </w:p>
    <w:p w14:paraId="6A0485CC"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Resolución 2470 2013</w:t>
      </w:r>
    </w:p>
    <w:p w14:paraId="4A8DDFF1"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Resolución 4222 2013</w:t>
      </w:r>
    </w:p>
    <w:p w14:paraId="3FD4EB8E"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Resolución 3861 2015</w:t>
      </w:r>
    </w:p>
    <w:p w14:paraId="665D799B"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Manual para el análisis del sector de CCE</w:t>
      </w:r>
    </w:p>
    <w:p w14:paraId="2C0C6347" w14:textId="2B6333D1" w:rsidR="00845294" w:rsidRDefault="00845294" w:rsidP="00845294">
      <w:pPr>
        <w:spacing w:after="0" w:line="240" w:lineRule="auto"/>
        <w:jc w:val="both"/>
        <w:rPr>
          <w:rFonts w:ascii="Verdana" w:eastAsia="Verdana" w:hAnsi="Verdana" w:cs="Verdana"/>
        </w:rPr>
      </w:pPr>
      <w:r w:rsidRPr="00845294">
        <w:rPr>
          <w:rFonts w:ascii="Verdana" w:eastAsia="Verdana" w:hAnsi="Verdana" w:cs="Verdana"/>
        </w:rPr>
        <w:lastRenderedPageBreak/>
        <w:t xml:space="preserve">Manual de Contratación  </w:t>
      </w:r>
    </w:p>
    <w:p w14:paraId="69B4A8BD" w14:textId="33C1C304" w:rsidR="00845294" w:rsidRPr="005B5DC6" w:rsidRDefault="00845294" w:rsidP="00845294">
      <w:pPr>
        <w:pStyle w:val="Heading1"/>
        <w:rPr>
          <w:rFonts w:ascii="Verdana" w:eastAsia="Verdana" w:hAnsi="Verdana" w:cs="Verdana"/>
          <w:b/>
          <w:bCs/>
          <w:color w:val="auto"/>
          <w:sz w:val="22"/>
          <w:szCs w:val="22"/>
        </w:rPr>
      </w:pPr>
      <w:bookmarkStart w:id="4" w:name="_Toc210917104"/>
      <w:r>
        <w:rPr>
          <w:rFonts w:ascii="Verdana" w:eastAsia="Verdana" w:hAnsi="Verdana" w:cs="Verdana"/>
          <w:b/>
          <w:bCs/>
          <w:color w:val="auto"/>
          <w:sz w:val="22"/>
          <w:szCs w:val="22"/>
        </w:rPr>
        <w:t>5. DESARROLLO</w:t>
      </w:r>
      <w:bookmarkEnd w:id="4"/>
    </w:p>
    <w:p w14:paraId="778410B9" w14:textId="39DF952A"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La presente guía es una herramienta de apoyo administrativo que facilita la elaboración de los estudios de mercado de la entidad, estableciendo parámetros para consultar los precios del mercado que permitan determinar finalmente el presupuesto oficial a plasmar en los estudios previos, dentro de la etapa precontractual de los diferentes procedimientos de contratación.</w:t>
      </w:r>
    </w:p>
    <w:p w14:paraId="4BAD4994" w14:textId="425E47FE" w:rsidR="00845294" w:rsidRPr="00845294" w:rsidRDefault="00845294" w:rsidP="00845294">
      <w:pPr>
        <w:pStyle w:val="Heading1"/>
        <w:rPr>
          <w:rFonts w:ascii="Verdana" w:eastAsia="Verdana" w:hAnsi="Verdana"/>
          <w:b/>
          <w:bCs/>
          <w:color w:val="auto"/>
          <w:sz w:val="22"/>
          <w:szCs w:val="22"/>
        </w:rPr>
      </w:pPr>
      <w:bookmarkStart w:id="5" w:name="_Toc210917105"/>
      <w:r w:rsidRPr="00845294">
        <w:rPr>
          <w:rFonts w:ascii="Verdana" w:eastAsia="Verdana" w:hAnsi="Verdana"/>
          <w:b/>
          <w:bCs/>
          <w:color w:val="auto"/>
          <w:sz w:val="22"/>
          <w:szCs w:val="22"/>
        </w:rPr>
        <w:t>5.1 ESTUDIO DE MERCADO:</w:t>
      </w:r>
      <w:bookmarkEnd w:id="5"/>
    </w:p>
    <w:p w14:paraId="51EC9D50" w14:textId="77777777" w:rsidR="00845294" w:rsidRPr="00845294" w:rsidRDefault="00845294" w:rsidP="00845294">
      <w:pPr>
        <w:spacing w:after="0" w:line="240" w:lineRule="auto"/>
        <w:jc w:val="both"/>
        <w:rPr>
          <w:rFonts w:ascii="Verdana" w:eastAsia="Verdana" w:hAnsi="Verdana" w:cs="Verdana"/>
        </w:rPr>
      </w:pPr>
    </w:p>
    <w:p w14:paraId="7D5BEB23" w14:textId="77777777"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b/>
          <w:bCs/>
        </w:rPr>
        <w:t>Procedencia:</w:t>
      </w:r>
      <w:r w:rsidRPr="00845294">
        <w:rPr>
          <w:rFonts w:ascii="Verdana" w:eastAsia="Verdana" w:hAnsi="Verdana" w:cs="Verdana"/>
        </w:rPr>
        <w:t xml:space="preserve"> Un estudio de mercado es la consulta y análisis de proveedores, competidores, productos, especificaciones y precios, a tener en cuenta para establecer el presupuesto oficial de los procesos de contratación, previamente a la elaboración de los estudios previos, y que así mismo, puede servir de base para el conocimiento de los bienes y servicios a adquirir y de las especificaciones técnicas de los mismos.</w:t>
      </w:r>
    </w:p>
    <w:p w14:paraId="4A589F31" w14:textId="77777777" w:rsidR="00845294" w:rsidRPr="00845294" w:rsidRDefault="00845294" w:rsidP="00845294">
      <w:pPr>
        <w:spacing w:after="0" w:line="240" w:lineRule="auto"/>
        <w:jc w:val="both"/>
        <w:rPr>
          <w:rFonts w:ascii="Verdana" w:eastAsia="Verdana" w:hAnsi="Verdana" w:cs="Verdana"/>
        </w:rPr>
      </w:pPr>
    </w:p>
    <w:p w14:paraId="5E011186" w14:textId="1D44CD35" w:rsidR="00845294" w:rsidRPr="00845294" w:rsidRDefault="00845294" w:rsidP="00845294">
      <w:pPr>
        <w:spacing w:after="0" w:line="240" w:lineRule="auto"/>
        <w:jc w:val="both"/>
        <w:rPr>
          <w:rFonts w:ascii="Verdana" w:eastAsia="Verdana" w:hAnsi="Verdana" w:cs="Verdana"/>
        </w:rPr>
      </w:pPr>
      <w:r w:rsidRPr="00845294">
        <w:rPr>
          <w:rFonts w:ascii="Verdana" w:eastAsia="Verdana" w:hAnsi="Verdana" w:cs="Verdana"/>
          <w:b/>
          <w:bCs/>
        </w:rPr>
        <w:t>Requisitos para la elaboración de un estudio de mercado</w:t>
      </w:r>
      <w:r>
        <w:rPr>
          <w:rFonts w:ascii="Verdana" w:eastAsia="Verdana" w:hAnsi="Verdana" w:cs="Verdana"/>
        </w:rPr>
        <w:t xml:space="preserve">: </w:t>
      </w:r>
      <w:r w:rsidRPr="00845294">
        <w:rPr>
          <w:rFonts w:ascii="Verdana" w:eastAsia="Verdana" w:hAnsi="Verdana" w:cs="Verdana"/>
        </w:rPr>
        <w:t>Previamente a la elaboración del estudio, el área solicitante del proceso de contratación debe conocer y tener claridad sobre el bien o servicio a adquirir.</w:t>
      </w:r>
    </w:p>
    <w:p w14:paraId="6A0A3CA3" w14:textId="77777777" w:rsidR="00845294" w:rsidRPr="00845294" w:rsidRDefault="00845294" w:rsidP="00845294">
      <w:pPr>
        <w:spacing w:after="0" w:line="240" w:lineRule="auto"/>
        <w:jc w:val="both"/>
        <w:rPr>
          <w:rFonts w:ascii="Verdana" w:eastAsia="Verdana" w:hAnsi="Verdana" w:cs="Verdana"/>
        </w:rPr>
      </w:pPr>
    </w:p>
    <w:p w14:paraId="25C515D4" w14:textId="77777777" w:rsidR="00845294" w:rsidRPr="00845294" w:rsidRDefault="00845294" w:rsidP="00845294">
      <w:pPr>
        <w:spacing w:after="0" w:line="240" w:lineRule="auto"/>
        <w:jc w:val="both"/>
        <w:rPr>
          <w:rFonts w:ascii="Verdana" w:eastAsia="Verdana" w:hAnsi="Verdana" w:cs="Verdana"/>
          <w:b/>
          <w:bCs/>
        </w:rPr>
      </w:pPr>
      <w:r w:rsidRPr="00845294">
        <w:rPr>
          <w:rFonts w:ascii="Verdana" w:eastAsia="Verdana" w:hAnsi="Verdana" w:cs="Verdana"/>
          <w:b/>
          <w:bCs/>
        </w:rPr>
        <w:t>Actividades mínimas y registros:</w:t>
      </w:r>
    </w:p>
    <w:p w14:paraId="3FE4CC7D" w14:textId="77777777" w:rsidR="00845294" w:rsidRDefault="00845294" w:rsidP="00845294">
      <w:pPr>
        <w:spacing w:after="0" w:line="240" w:lineRule="auto"/>
        <w:jc w:val="both"/>
        <w:rPr>
          <w:rFonts w:ascii="Verdana" w:eastAsia="Verdana" w:hAnsi="Verdana" w:cs="Verdana"/>
        </w:rPr>
      </w:pPr>
    </w:p>
    <w:p w14:paraId="14E32CFA" w14:textId="73813BEC" w:rsid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El área solicitante, una vez exista claridad sobre el objeto a contratar, dependiendo de los bienes y servicios a adquirir, enviará como mínimo cinco solicitudes de cotización, bien sea por correo físico o electrónico a posibles proveedores que tengan dentro de sus actividades o suministros, relación con los bienes o servicios a contratar.</w:t>
      </w:r>
    </w:p>
    <w:p w14:paraId="6D3309D6" w14:textId="77777777" w:rsidR="00845294" w:rsidRPr="00845294" w:rsidRDefault="00845294" w:rsidP="00845294">
      <w:pPr>
        <w:spacing w:after="0" w:line="240" w:lineRule="auto"/>
        <w:jc w:val="both"/>
        <w:rPr>
          <w:rFonts w:ascii="Verdana" w:eastAsia="Verdana" w:hAnsi="Verdana" w:cs="Verdana"/>
        </w:rPr>
      </w:pPr>
    </w:p>
    <w:p w14:paraId="6A4126D1" w14:textId="5C8E378D" w:rsid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Dentro de la solicitud de cotización, además del objeto y las especificaciones técnicas cuyos previos se solicitan, se deberá especificar el término dentro del cual se deberán presentar las cotizaciones y el lugar y forma de recepción de estas.</w:t>
      </w:r>
    </w:p>
    <w:p w14:paraId="4A1B72B3" w14:textId="77777777" w:rsidR="00845294" w:rsidRPr="00845294" w:rsidRDefault="00845294" w:rsidP="00845294">
      <w:pPr>
        <w:spacing w:after="0" w:line="240" w:lineRule="auto"/>
        <w:jc w:val="both"/>
        <w:rPr>
          <w:rFonts w:ascii="Verdana" w:eastAsia="Verdana" w:hAnsi="Verdana" w:cs="Verdana"/>
        </w:rPr>
      </w:pPr>
    </w:p>
    <w:p w14:paraId="607B2260" w14:textId="77777777" w:rsid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Del envío de la solicitud, deberá dejarse constancia escrita, la cual se adjuntará a los antecedentes del proceso precontractual.</w:t>
      </w:r>
    </w:p>
    <w:p w14:paraId="6074AC8A" w14:textId="77777777" w:rsidR="00845294" w:rsidRPr="00845294" w:rsidRDefault="00845294" w:rsidP="00845294">
      <w:pPr>
        <w:spacing w:after="0" w:line="240" w:lineRule="auto"/>
        <w:jc w:val="both"/>
        <w:rPr>
          <w:rFonts w:ascii="Verdana" w:eastAsia="Verdana" w:hAnsi="Verdana" w:cs="Verdana"/>
        </w:rPr>
      </w:pPr>
    </w:p>
    <w:p w14:paraId="6EE29FC7" w14:textId="7719B4CF" w:rsid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Deberán obtenerse como mínimo tres cotizaciones, que sirvan como base para la elaboración del estudio, en caso de que, en el día y hora señalados para el recibo de estas, no se hayan presentado el mínimo de cotizaciones requeridas, entonces se deberá reiterar las solicitudes enviadas, o en su defecto enviar solicitudes a otros proveedores a quienes no se les haya enviado anteriormente solicitud.</w:t>
      </w:r>
    </w:p>
    <w:p w14:paraId="07188C82" w14:textId="77777777" w:rsid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De las reiteraciones, como de las nuevas solicitudes de cotización deberá dejarse constancia escrita pare el expediente precontractual.</w:t>
      </w:r>
    </w:p>
    <w:p w14:paraId="4C0FC468" w14:textId="77777777" w:rsidR="00845294" w:rsidRPr="00845294" w:rsidRDefault="00845294" w:rsidP="00845294">
      <w:pPr>
        <w:spacing w:after="0" w:line="240" w:lineRule="auto"/>
        <w:jc w:val="both"/>
        <w:rPr>
          <w:rFonts w:ascii="Verdana" w:eastAsia="Verdana" w:hAnsi="Verdana" w:cs="Verdana"/>
        </w:rPr>
      </w:pPr>
    </w:p>
    <w:p w14:paraId="53D30A67" w14:textId="77777777" w:rsidR="00845294" w:rsidRDefault="00845294" w:rsidP="00845294">
      <w:pPr>
        <w:spacing w:after="0" w:line="240" w:lineRule="auto"/>
        <w:jc w:val="both"/>
        <w:rPr>
          <w:rFonts w:ascii="Verdana" w:eastAsia="Verdana" w:hAnsi="Verdana" w:cs="Verdana"/>
        </w:rPr>
      </w:pPr>
      <w:r w:rsidRPr="00845294">
        <w:rPr>
          <w:rFonts w:ascii="Verdana" w:eastAsia="Verdana" w:hAnsi="Verdana" w:cs="Verdana"/>
        </w:rPr>
        <w:lastRenderedPageBreak/>
        <w:t>Si luego de reiterada la solicitud o enviadas las solicitudes nuevas, no se han presentado mínimo tres cotizaciones, entonces el estudio se elaborará con la cotización o cotizaciones allegadas.</w:t>
      </w:r>
    </w:p>
    <w:p w14:paraId="486ED53F" w14:textId="77777777" w:rsidR="00845294" w:rsidRPr="00845294" w:rsidRDefault="00845294" w:rsidP="00845294">
      <w:pPr>
        <w:spacing w:after="0" w:line="240" w:lineRule="auto"/>
        <w:jc w:val="both"/>
        <w:rPr>
          <w:rFonts w:ascii="Verdana" w:eastAsia="Verdana" w:hAnsi="Verdana" w:cs="Verdana"/>
        </w:rPr>
      </w:pPr>
    </w:p>
    <w:p w14:paraId="6242ED94" w14:textId="77777777" w:rsid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Para la elaboración del estudio, de conformidad con las cotizaciones allegadas, se diligenciará el formato para la elaboración de estudios de mercado, del Sistema Integrado de Gestión de Calidad, y se debe tener en cuenta para tal efecto lo siguiente:</w:t>
      </w:r>
    </w:p>
    <w:p w14:paraId="610A9324" w14:textId="77777777" w:rsidR="00845294" w:rsidRPr="00845294" w:rsidRDefault="00845294" w:rsidP="00845294">
      <w:pPr>
        <w:spacing w:after="0" w:line="240" w:lineRule="auto"/>
        <w:jc w:val="both"/>
        <w:rPr>
          <w:rFonts w:ascii="Verdana" w:eastAsia="Verdana" w:hAnsi="Verdana" w:cs="Verdana"/>
        </w:rPr>
      </w:pPr>
    </w:p>
    <w:p w14:paraId="3CA130A4" w14:textId="4AA38448" w:rsidR="00845294" w:rsidRPr="00845294" w:rsidRDefault="00845294" w:rsidP="00845294">
      <w:pPr>
        <w:pStyle w:val="ListParagraph"/>
        <w:numPr>
          <w:ilvl w:val="0"/>
          <w:numId w:val="37"/>
        </w:numPr>
        <w:spacing w:after="0" w:line="240" w:lineRule="auto"/>
        <w:jc w:val="both"/>
        <w:rPr>
          <w:rFonts w:ascii="Verdana" w:eastAsia="Verdana" w:hAnsi="Verdana" w:cs="Verdana"/>
        </w:rPr>
      </w:pPr>
      <w:r w:rsidRPr="00845294">
        <w:rPr>
          <w:rFonts w:ascii="Verdana" w:eastAsia="Verdana" w:hAnsi="Verdana" w:cs="Verdana"/>
        </w:rPr>
        <w:t>Dentro de la casilla denominada "Cotización de la. fecha...), se deberá incorporar el nombre del proveedor que presentó cotización, al igual que la fecha de presentación de esta. (Dentro del cuadro se deberá incluir una columna para cada cotizante).</w:t>
      </w:r>
    </w:p>
    <w:p w14:paraId="3F0ADC77" w14:textId="77777777" w:rsidR="00845294" w:rsidRPr="00845294" w:rsidRDefault="00845294" w:rsidP="00845294">
      <w:pPr>
        <w:spacing w:after="0" w:line="240" w:lineRule="auto"/>
        <w:jc w:val="both"/>
        <w:rPr>
          <w:rFonts w:ascii="Verdana" w:eastAsia="Verdana" w:hAnsi="Verdana" w:cs="Verdana"/>
        </w:rPr>
      </w:pPr>
    </w:p>
    <w:p w14:paraId="0ED3D04F" w14:textId="43E042A9" w:rsidR="00845294" w:rsidRPr="00845294" w:rsidRDefault="00845294" w:rsidP="00845294">
      <w:pPr>
        <w:pStyle w:val="ListParagraph"/>
        <w:numPr>
          <w:ilvl w:val="0"/>
          <w:numId w:val="37"/>
        </w:numPr>
        <w:spacing w:after="0" w:line="240" w:lineRule="auto"/>
        <w:jc w:val="both"/>
        <w:rPr>
          <w:rFonts w:ascii="Verdana" w:eastAsia="Verdana" w:hAnsi="Verdana" w:cs="Verdana"/>
        </w:rPr>
      </w:pPr>
      <w:r w:rsidRPr="00845294">
        <w:rPr>
          <w:rFonts w:ascii="Verdana" w:eastAsia="Verdana" w:hAnsi="Verdana" w:cs="Verdana"/>
        </w:rPr>
        <w:t>Dentro de la casilla denominada beneficios adicionales, se deberá indicar el ofrecimiento adicional que realiza el proveedor, que no fue solicitado en la cotización, pero que mejora las especificaciones mínimas requeridas, y el precio de esta, en caso de que dicho beneficio tenga algún valor. (Se debe aclarar dentro del estudio, si la es beneficio para la entidad ese adicional o si por el contrario es irrelevante, con el fin de establecer si se tiene en cuenta para promediar el precio cotizado que servirá de base para el presupuesto oficial).</w:t>
      </w:r>
    </w:p>
    <w:p w14:paraId="2B838ED1" w14:textId="77777777" w:rsidR="00845294" w:rsidRPr="00845294" w:rsidRDefault="00845294" w:rsidP="00845294">
      <w:pPr>
        <w:spacing w:after="0" w:line="240" w:lineRule="auto"/>
        <w:jc w:val="both"/>
        <w:rPr>
          <w:rFonts w:ascii="Verdana" w:eastAsia="Verdana" w:hAnsi="Verdana" w:cs="Verdana"/>
        </w:rPr>
      </w:pPr>
    </w:p>
    <w:p w14:paraId="6EEB1A2C" w14:textId="77777777" w:rsidR="00845294" w:rsidRPr="00845294" w:rsidRDefault="00845294" w:rsidP="00845294">
      <w:pPr>
        <w:pStyle w:val="ListParagraph"/>
        <w:numPr>
          <w:ilvl w:val="0"/>
          <w:numId w:val="37"/>
        </w:numPr>
        <w:spacing w:after="0" w:line="240" w:lineRule="auto"/>
        <w:jc w:val="both"/>
        <w:rPr>
          <w:rFonts w:ascii="Verdana" w:eastAsia="Verdana" w:hAnsi="Verdana" w:cs="Verdana"/>
        </w:rPr>
      </w:pPr>
      <w:r w:rsidRPr="00845294">
        <w:rPr>
          <w:rFonts w:ascii="Verdana" w:eastAsia="Verdana" w:hAnsi="Verdana" w:cs="Verdana"/>
        </w:rPr>
        <w:t>Dentro de la casilla promedio, se deberá establecer el valor resultante, de sumar valor del servicio o ítem cotizado por cada proveedor y dividirlo por el número de cotizaciones presentadas.</w:t>
      </w:r>
    </w:p>
    <w:p w14:paraId="40E6F9D9" w14:textId="77777777" w:rsidR="00845294" w:rsidRPr="00845294" w:rsidRDefault="00845294" w:rsidP="00845294">
      <w:pPr>
        <w:spacing w:after="0" w:line="240" w:lineRule="auto"/>
        <w:jc w:val="both"/>
        <w:rPr>
          <w:rFonts w:ascii="Verdana" w:eastAsia="Verdana" w:hAnsi="Verdana" w:cs="Verdana"/>
        </w:rPr>
      </w:pPr>
    </w:p>
    <w:p w14:paraId="5F14298F" w14:textId="4C580205" w:rsidR="00845294" w:rsidRDefault="00845294" w:rsidP="00845294">
      <w:pPr>
        <w:pStyle w:val="ListParagraph"/>
        <w:numPr>
          <w:ilvl w:val="0"/>
          <w:numId w:val="37"/>
        </w:numPr>
        <w:spacing w:after="0" w:line="240" w:lineRule="auto"/>
        <w:jc w:val="both"/>
        <w:rPr>
          <w:rFonts w:ascii="Verdana" w:eastAsia="Verdana" w:hAnsi="Verdana" w:cs="Verdana"/>
        </w:rPr>
      </w:pPr>
      <w:r w:rsidRPr="00845294">
        <w:rPr>
          <w:rFonts w:ascii="Verdana" w:eastAsia="Verdana" w:hAnsi="Verdana" w:cs="Verdana"/>
        </w:rPr>
        <w:t>El valor total del presupuesto oficial será el resultante de sumar todas las sumas diligenciadas en la casilla de valor promedio.</w:t>
      </w:r>
    </w:p>
    <w:p w14:paraId="6812C343" w14:textId="77777777" w:rsidR="00845294" w:rsidRDefault="00845294" w:rsidP="00845294">
      <w:pPr>
        <w:spacing w:after="0" w:line="240" w:lineRule="auto"/>
        <w:jc w:val="both"/>
        <w:rPr>
          <w:rFonts w:ascii="Verdana" w:eastAsia="Verdana" w:hAnsi="Verdana" w:cs="Verdana"/>
        </w:rPr>
      </w:pPr>
    </w:p>
    <w:p w14:paraId="579E5976" w14:textId="77777777" w:rsid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Una vez establecido en presupuesto oficial, se deberá incluir dentro del estudio previo, en el acápite correspondiente al análisis que soporta el valor estimado del contrato.</w:t>
      </w:r>
    </w:p>
    <w:p w14:paraId="190C539C" w14:textId="77777777" w:rsidR="00845294" w:rsidRDefault="00845294" w:rsidP="00845294">
      <w:pPr>
        <w:spacing w:after="0" w:line="240" w:lineRule="auto"/>
        <w:jc w:val="both"/>
        <w:rPr>
          <w:rFonts w:ascii="Verdana" w:eastAsia="Verdana" w:hAnsi="Verdana" w:cs="Verdana"/>
        </w:rPr>
      </w:pPr>
    </w:p>
    <w:p w14:paraId="72D2D92D" w14:textId="77777777" w:rsidR="00845294" w:rsidRDefault="00845294" w:rsidP="00845294">
      <w:pPr>
        <w:spacing w:after="0" w:line="240" w:lineRule="auto"/>
        <w:jc w:val="both"/>
        <w:rPr>
          <w:rFonts w:ascii="Verdana" w:eastAsia="Verdana" w:hAnsi="Verdana" w:cs="Verdana"/>
        </w:rPr>
      </w:pPr>
      <w:r w:rsidRPr="00845294">
        <w:rPr>
          <w:rFonts w:ascii="Verdana" w:eastAsia="Verdana" w:hAnsi="Verdana" w:cs="Verdana"/>
          <w:b/>
          <w:bCs/>
        </w:rPr>
        <w:t xml:space="preserve">NOTA 1: </w:t>
      </w:r>
      <w:r w:rsidRPr="00845294">
        <w:rPr>
          <w:rFonts w:ascii="Verdana" w:eastAsia="Verdana" w:hAnsi="Verdana" w:cs="Verdana"/>
        </w:rPr>
        <w:t>En caso de ser procedente, se deberá discriminar el IVA.</w:t>
      </w:r>
    </w:p>
    <w:p w14:paraId="770D37BE" w14:textId="1DE281F2" w:rsidR="00845294" w:rsidRPr="00845294" w:rsidRDefault="00845294" w:rsidP="00845294">
      <w:pPr>
        <w:spacing w:after="0" w:line="240" w:lineRule="auto"/>
        <w:jc w:val="both"/>
        <w:rPr>
          <w:rFonts w:ascii="Verdana" w:eastAsia="Verdana" w:hAnsi="Verdana" w:cs="Verdana"/>
          <w:b/>
          <w:bCs/>
        </w:rPr>
      </w:pPr>
      <w:r w:rsidRPr="00845294">
        <w:rPr>
          <w:rFonts w:ascii="Verdana" w:eastAsia="Verdana" w:hAnsi="Verdana" w:cs="Verdana"/>
        </w:rPr>
        <w:br/>
      </w:r>
      <w:r w:rsidRPr="00845294">
        <w:rPr>
          <w:rFonts w:ascii="Verdana" w:eastAsia="Verdana" w:hAnsi="Verdana" w:cs="Verdana"/>
          <w:b/>
          <w:bCs/>
        </w:rPr>
        <w:t xml:space="preserve">NOTA 2: </w:t>
      </w:r>
      <w:r w:rsidRPr="00845294">
        <w:rPr>
          <w:rFonts w:ascii="Verdana" w:eastAsia="Verdana" w:hAnsi="Verdana" w:cs="Verdana"/>
        </w:rPr>
        <w:t>En el evento en el que se modifiquen sustancialmente las especificaciones técnicas que dieron origen al estudio de mercado y por ende se afecte el valor de este, el área técnica solicitante de la contratación deberá realizar un nuevo estudio de mercado.</w:t>
      </w:r>
    </w:p>
    <w:p w14:paraId="41D468AD" w14:textId="159FD84A" w:rsidR="00845294" w:rsidRPr="00845294" w:rsidRDefault="00845294" w:rsidP="00845294">
      <w:pPr>
        <w:spacing w:after="0" w:line="240" w:lineRule="auto"/>
        <w:jc w:val="both"/>
        <w:rPr>
          <w:rFonts w:ascii="Verdana" w:eastAsia="Verdana" w:hAnsi="Verdana" w:cs="Verdana"/>
          <w:b/>
          <w:bCs/>
        </w:rPr>
      </w:pPr>
      <w:r w:rsidRPr="00845294">
        <w:rPr>
          <w:rFonts w:ascii="Verdana" w:eastAsia="Verdana" w:hAnsi="Verdana" w:cs="Verdana"/>
          <w:b/>
          <w:bCs/>
        </w:rPr>
        <w:br/>
        <w:t xml:space="preserve">NOTA 3: </w:t>
      </w:r>
      <w:r w:rsidRPr="00845294">
        <w:rPr>
          <w:rFonts w:ascii="Verdana" w:eastAsia="Verdana" w:hAnsi="Verdana" w:cs="Verdana"/>
        </w:rPr>
        <w:t>Se deberán adjuntar todos los soportes que dieron origen al estudio de mercado.</w:t>
      </w:r>
    </w:p>
    <w:p w14:paraId="03E8E92B" w14:textId="6AF5F14C" w:rsidR="00845294" w:rsidRDefault="00845294" w:rsidP="00845294">
      <w:pPr>
        <w:spacing w:after="0" w:line="240" w:lineRule="auto"/>
        <w:jc w:val="both"/>
        <w:rPr>
          <w:rFonts w:ascii="Verdana" w:eastAsia="Verdana" w:hAnsi="Verdana" w:cs="Verdana"/>
        </w:rPr>
      </w:pPr>
      <w:r w:rsidRPr="00845294">
        <w:rPr>
          <w:rFonts w:ascii="Verdana" w:eastAsia="Verdana" w:hAnsi="Verdana" w:cs="Verdana"/>
        </w:rPr>
        <w:t> </w:t>
      </w:r>
    </w:p>
    <w:p w14:paraId="6CFE1845" w14:textId="77777777" w:rsidR="00845294" w:rsidRPr="00845294" w:rsidRDefault="00845294" w:rsidP="00845294">
      <w:pPr>
        <w:spacing w:after="0" w:line="240" w:lineRule="auto"/>
        <w:jc w:val="both"/>
        <w:rPr>
          <w:rFonts w:ascii="Verdana" w:eastAsia="Verdana" w:hAnsi="Verdana" w:cs="Verdana"/>
        </w:rPr>
      </w:pPr>
    </w:p>
    <w:p w14:paraId="75D78B44" w14:textId="77777777" w:rsidR="00845294" w:rsidRPr="00845294" w:rsidRDefault="00845294" w:rsidP="00845294">
      <w:pPr>
        <w:spacing w:after="0" w:line="240" w:lineRule="auto"/>
        <w:jc w:val="both"/>
        <w:rPr>
          <w:rFonts w:ascii="Verdana" w:eastAsia="Verdana" w:hAnsi="Verdana" w:cs="Verdana"/>
        </w:rPr>
      </w:pPr>
    </w:p>
    <w:p w14:paraId="7B8CFC84" w14:textId="77777777" w:rsidR="009F6E54" w:rsidRDefault="009F6E54" w:rsidP="00DC0AE2">
      <w:pPr>
        <w:spacing w:after="0" w:line="240" w:lineRule="auto"/>
        <w:jc w:val="both"/>
        <w:rPr>
          <w:rFonts w:ascii="Verdana" w:hAnsi="Verdana"/>
        </w:rPr>
      </w:pPr>
    </w:p>
    <w:p w14:paraId="1AF5AC25" w14:textId="77777777" w:rsidR="005A627C" w:rsidRDefault="005A627C" w:rsidP="00DC0AE2">
      <w:pPr>
        <w:spacing w:after="0" w:line="240" w:lineRule="auto"/>
        <w:jc w:val="both"/>
        <w:rPr>
          <w:rFonts w:ascii="Verdana" w:hAnsi="Verdana"/>
        </w:rPr>
      </w:pPr>
    </w:p>
    <w:p w14:paraId="089090C2" w14:textId="77777777" w:rsidR="005A627C" w:rsidRDefault="005A627C" w:rsidP="00DC0AE2">
      <w:pPr>
        <w:spacing w:after="0" w:line="240" w:lineRule="auto"/>
        <w:jc w:val="both"/>
        <w:rPr>
          <w:rFonts w:ascii="Verdana" w:hAnsi="Verdana"/>
        </w:rPr>
      </w:pPr>
    </w:p>
    <w:p w14:paraId="1A1B2264" w14:textId="51708B23" w:rsidR="00665072" w:rsidRPr="005B5DC6" w:rsidRDefault="00845294" w:rsidP="00DC0AE2">
      <w:pPr>
        <w:pStyle w:val="Heading1"/>
        <w:rPr>
          <w:rFonts w:ascii="Verdana" w:eastAsia="Verdana" w:hAnsi="Verdana" w:cs="Verdana"/>
          <w:b/>
          <w:bCs/>
          <w:color w:val="auto"/>
          <w:sz w:val="22"/>
          <w:szCs w:val="22"/>
        </w:rPr>
      </w:pPr>
      <w:bookmarkStart w:id="6" w:name="_Toc210917106"/>
      <w:r>
        <w:rPr>
          <w:rFonts w:ascii="Verdana" w:eastAsia="Verdana" w:hAnsi="Verdana" w:cs="Verdana"/>
          <w:b/>
          <w:bCs/>
          <w:color w:val="auto"/>
          <w:sz w:val="22"/>
          <w:szCs w:val="22"/>
        </w:rPr>
        <w:lastRenderedPageBreak/>
        <w:t>6</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HISTORIAL DE CAMBIOS</w:t>
      </w:r>
      <w:bookmarkEnd w:id="6"/>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00B1761A">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00B1761A">
        <w:trPr>
          <w:trHeight w:val="300"/>
        </w:trPr>
        <w:tc>
          <w:tcPr>
            <w:tcW w:w="1418" w:type="dxa"/>
            <w:tcMar>
              <w:top w:w="57" w:type="dxa"/>
              <w:left w:w="113" w:type="dxa"/>
              <w:bottom w:w="57" w:type="dxa"/>
            </w:tcMar>
            <w:vAlign w:val="center"/>
          </w:tcPr>
          <w:p w14:paraId="51E5B420" w14:textId="4A9FEBF6" w:rsidR="00665072" w:rsidRPr="00DD7470" w:rsidRDefault="006E128C" w:rsidP="00B1761A">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5A7F3F5F" w14:textId="77777777" w:rsidR="006E128C" w:rsidRDefault="00C629CF" w:rsidP="00B1761A">
            <w:pPr>
              <w:spacing w:after="0" w:line="240" w:lineRule="auto"/>
              <w:jc w:val="both"/>
              <w:rPr>
                <w:rFonts w:ascii="Verdana" w:hAnsi="Verdana" w:cs="Arial"/>
                <w:sz w:val="16"/>
                <w:szCs w:val="16"/>
              </w:rPr>
            </w:pPr>
            <w:r w:rsidRPr="00914615">
              <w:rPr>
                <w:rFonts w:ascii="Verdana" w:hAnsi="Verdana" w:cs="Arial"/>
                <w:sz w:val="16"/>
                <w:szCs w:val="16"/>
              </w:rPr>
              <w:t>Primera versión del documento para el nuevo Mapa de procesos.</w:t>
            </w:r>
            <w:r>
              <w:rPr>
                <w:rFonts w:ascii="Verdana" w:hAnsi="Verdana" w:cs="Arial"/>
                <w:sz w:val="16"/>
                <w:szCs w:val="16"/>
              </w:rPr>
              <w:t xml:space="preserve"> </w:t>
            </w:r>
          </w:p>
          <w:p w14:paraId="3314E22F" w14:textId="77777777" w:rsidR="00665072" w:rsidRDefault="00C629CF" w:rsidP="00B1761A">
            <w:pPr>
              <w:spacing w:after="0" w:line="240" w:lineRule="auto"/>
              <w:jc w:val="both"/>
              <w:rPr>
                <w:rFonts w:ascii="Verdana" w:hAnsi="Verdana" w:cs="Arial"/>
                <w:sz w:val="16"/>
                <w:szCs w:val="16"/>
              </w:rPr>
            </w:pPr>
            <w:r w:rsidRPr="00914615">
              <w:rPr>
                <w:rFonts w:ascii="Verdana" w:hAnsi="Verdana" w:cs="Arial"/>
                <w:sz w:val="16"/>
                <w:szCs w:val="16"/>
              </w:rPr>
              <w:t xml:space="preserve">Código anterior: </w:t>
            </w:r>
            <w:r w:rsidR="006E128C">
              <w:rPr>
                <w:rFonts w:ascii="Verdana" w:hAnsi="Verdana" w:cs="Arial"/>
                <w:sz w:val="16"/>
                <w:szCs w:val="16"/>
              </w:rPr>
              <w:t>BS</w:t>
            </w:r>
            <w:r w:rsidRPr="00C629CF">
              <w:rPr>
                <w:rFonts w:ascii="Verdana" w:hAnsi="Verdana" w:cs="Arial"/>
                <w:sz w:val="16"/>
                <w:szCs w:val="16"/>
              </w:rPr>
              <w:t>-</w:t>
            </w:r>
            <w:r w:rsidR="006E128C">
              <w:rPr>
                <w:rFonts w:ascii="Verdana" w:hAnsi="Verdana" w:cs="Arial"/>
                <w:sz w:val="16"/>
                <w:szCs w:val="16"/>
              </w:rPr>
              <w:t>GU</w:t>
            </w:r>
            <w:r w:rsidRPr="00C629CF">
              <w:rPr>
                <w:rFonts w:ascii="Verdana" w:hAnsi="Verdana" w:cs="Arial"/>
                <w:sz w:val="16"/>
                <w:szCs w:val="16"/>
              </w:rPr>
              <w:t>-00</w:t>
            </w:r>
            <w:r w:rsidR="00845294">
              <w:rPr>
                <w:rFonts w:ascii="Verdana" w:hAnsi="Verdana" w:cs="Arial"/>
                <w:sz w:val="16"/>
                <w:szCs w:val="16"/>
              </w:rPr>
              <w:t>5</w:t>
            </w:r>
            <w:r w:rsidR="006E128C">
              <w:rPr>
                <w:rFonts w:ascii="Verdana" w:hAnsi="Verdana" w:cs="Arial"/>
                <w:sz w:val="16"/>
                <w:szCs w:val="16"/>
              </w:rPr>
              <w:t>. V02.</w:t>
            </w:r>
          </w:p>
          <w:p w14:paraId="4120EAED" w14:textId="0B9CA83E" w:rsidR="006E128C" w:rsidRPr="00DD7470" w:rsidRDefault="006E128C" w:rsidP="00B1761A">
            <w:pPr>
              <w:spacing w:after="0" w:line="240" w:lineRule="auto"/>
              <w:jc w:val="both"/>
              <w:rPr>
                <w:rFonts w:ascii="Verdana" w:hAnsi="Verdana" w:cs="Arial"/>
                <w:sz w:val="16"/>
                <w:szCs w:val="16"/>
              </w:rPr>
            </w:pPr>
            <w:r>
              <w:rPr>
                <w:rFonts w:ascii="Verdana" w:hAnsi="Verdana" w:cs="Arial"/>
                <w:sz w:val="16"/>
                <w:szCs w:val="16"/>
              </w:rPr>
              <w:t>Se actualiza el documento de manera integral.</w:t>
            </w:r>
          </w:p>
        </w:tc>
      </w:tr>
    </w:tbl>
    <w:p w14:paraId="746F2AC1" w14:textId="77777777" w:rsidR="00A45AEA" w:rsidRPr="00DD7470" w:rsidRDefault="00A45AEA" w:rsidP="00665072">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eGrid"/>
        <w:tblW w:w="10800" w:type="dxa"/>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00D27D63">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27D63" w:rsidRPr="00DD7470" w14:paraId="0E87B8A0" w14:textId="77777777" w:rsidTr="00D27D63">
        <w:trPr>
          <w:trHeight w:val="300"/>
        </w:trPr>
        <w:tc>
          <w:tcPr>
            <w:tcW w:w="1095" w:type="dxa"/>
            <w:vAlign w:val="center"/>
          </w:tcPr>
          <w:p w14:paraId="3C7D3A9D" w14:textId="77777777" w:rsidR="00D27D63" w:rsidRPr="00DD7470" w:rsidRDefault="00D27D63" w:rsidP="00D27D63">
            <w:pPr>
              <w:rPr>
                <w:rFonts w:ascii="Verdana" w:hAnsi="Verdana"/>
                <w:sz w:val="16"/>
                <w:szCs w:val="16"/>
              </w:rPr>
            </w:pPr>
            <w:r w:rsidRPr="00DD7470">
              <w:rPr>
                <w:rFonts w:ascii="Verdana" w:hAnsi="Verdana"/>
                <w:sz w:val="16"/>
                <w:szCs w:val="16"/>
              </w:rPr>
              <w:t>Nombre:</w:t>
            </w:r>
          </w:p>
        </w:tc>
        <w:tc>
          <w:tcPr>
            <w:tcW w:w="1605" w:type="dxa"/>
            <w:vAlign w:val="center"/>
          </w:tcPr>
          <w:p w14:paraId="2B3E6A55" w14:textId="70F8ACDA" w:rsidR="00D27D63" w:rsidRPr="00DD7470" w:rsidRDefault="00D27D63" w:rsidP="00D27D63">
            <w:pPr>
              <w:rPr>
                <w:rFonts w:ascii="Verdana" w:hAnsi="Verdana"/>
                <w:sz w:val="16"/>
                <w:szCs w:val="16"/>
              </w:rPr>
            </w:pPr>
            <w:r>
              <w:rPr>
                <w:rFonts w:ascii="Verdana" w:hAnsi="Verdana"/>
                <w:sz w:val="16"/>
                <w:szCs w:val="16"/>
              </w:rPr>
              <w:t>Jhon Edgar Aviles</w:t>
            </w:r>
          </w:p>
        </w:tc>
        <w:tc>
          <w:tcPr>
            <w:tcW w:w="1095" w:type="dxa"/>
            <w:vAlign w:val="center"/>
          </w:tcPr>
          <w:p w14:paraId="14821BCB" w14:textId="77777777" w:rsidR="00D27D63" w:rsidRPr="00DD7470" w:rsidRDefault="00D27D63" w:rsidP="00D27D63">
            <w:pPr>
              <w:rPr>
                <w:rFonts w:ascii="Verdana" w:hAnsi="Verdana"/>
                <w:sz w:val="16"/>
                <w:szCs w:val="16"/>
              </w:rPr>
            </w:pPr>
            <w:r w:rsidRPr="00DD7470">
              <w:rPr>
                <w:rFonts w:ascii="Verdana" w:hAnsi="Verdana"/>
                <w:sz w:val="16"/>
                <w:szCs w:val="16"/>
              </w:rPr>
              <w:t>Nombre:</w:t>
            </w:r>
          </w:p>
        </w:tc>
        <w:tc>
          <w:tcPr>
            <w:tcW w:w="1605" w:type="dxa"/>
            <w:vAlign w:val="center"/>
          </w:tcPr>
          <w:p w14:paraId="5E70F736" w14:textId="097D3AD5" w:rsidR="00D27D63" w:rsidRPr="00DD7470" w:rsidRDefault="00D27D63" w:rsidP="00D27D63">
            <w:pPr>
              <w:rPr>
                <w:rFonts w:ascii="Verdana" w:hAnsi="Verdana"/>
                <w:sz w:val="16"/>
                <w:szCs w:val="16"/>
              </w:rPr>
            </w:pPr>
            <w:r>
              <w:rPr>
                <w:rFonts w:ascii="Verdana" w:hAnsi="Verdana"/>
                <w:sz w:val="16"/>
                <w:szCs w:val="16"/>
              </w:rPr>
              <w:t>Jefferson López</w:t>
            </w:r>
          </w:p>
        </w:tc>
        <w:tc>
          <w:tcPr>
            <w:tcW w:w="1155" w:type="dxa"/>
            <w:vAlign w:val="center"/>
          </w:tcPr>
          <w:p w14:paraId="2EC8C2DC" w14:textId="77777777" w:rsidR="00D27D63" w:rsidRPr="00DD7470" w:rsidRDefault="00D27D63" w:rsidP="00D27D63">
            <w:pPr>
              <w:rPr>
                <w:rFonts w:ascii="Verdana" w:hAnsi="Verdana"/>
                <w:sz w:val="16"/>
                <w:szCs w:val="16"/>
              </w:rPr>
            </w:pPr>
            <w:r w:rsidRPr="00DD7470">
              <w:rPr>
                <w:rFonts w:ascii="Verdana" w:hAnsi="Verdana"/>
                <w:sz w:val="16"/>
                <w:szCs w:val="16"/>
              </w:rPr>
              <w:t>Nombre:</w:t>
            </w:r>
          </w:p>
        </w:tc>
        <w:tc>
          <w:tcPr>
            <w:tcW w:w="1545" w:type="dxa"/>
            <w:vAlign w:val="center"/>
          </w:tcPr>
          <w:p w14:paraId="66E84F81" w14:textId="0123B42F" w:rsidR="00D27D63" w:rsidRPr="00DD7470" w:rsidRDefault="00D27D63" w:rsidP="00D27D63">
            <w:pPr>
              <w:rPr>
                <w:rFonts w:ascii="Verdana" w:hAnsi="Verdana"/>
                <w:sz w:val="16"/>
                <w:szCs w:val="16"/>
              </w:rPr>
            </w:pPr>
            <w:r>
              <w:rPr>
                <w:rFonts w:ascii="Verdana" w:hAnsi="Verdana"/>
                <w:sz w:val="16"/>
                <w:szCs w:val="16"/>
              </w:rPr>
              <w:t>Janet Pilar Rodriguez</w:t>
            </w:r>
          </w:p>
        </w:tc>
        <w:tc>
          <w:tcPr>
            <w:tcW w:w="1155" w:type="dxa"/>
            <w:vAlign w:val="center"/>
          </w:tcPr>
          <w:p w14:paraId="793F030B" w14:textId="77777777" w:rsidR="00D27D63" w:rsidRPr="00DD7470" w:rsidRDefault="00D27D63" w:rsidP="00D27D63">
            <w:pPr>
              <w:rPr>
                <w:rFonts w:ascii="Verdana" w:hAnsi="Verdana"/>
                <w:sz w:val="16"/>
                <w:szCs w:val="16"/>
              </w:rPr>
            </w:pPr>
            <w:r w:rsidRPr="00DD7470">
              <w:rPr>
                <w:rFonts w:ascii="Verdana" w:hAnsi="Verdana"/>
                <w:sz w:val="16"/>
                <w:szCs w:val="16"/>
              </w:rPr>
              <w:t>Nombre:</w:t>
            </w:r>
          </w:p>
        </w:tc>
        <w:tc>
          <w:tcPr>
            <w:tcW w:w="1545" w:type="dxa"/>
            <w:vAlign w:val="center"/>
          </w:tcPr>
          <w:p w14:paraId="0164AE84" w14:textId="4B3F764F" w:rsidR="00D27D63" w:rsidRPr="00DD7470" w:rsidRDefault="00D27D63" w:rsidP="00D27D63">
            <w:pPr>
              <w:rPr>
                <w:rFonts w:ascii="Verdana" w:hAnsi="Verdana"/>
                <w:sz w:val="16"/>
                <w:szCs w:val="16"/>
              </w:rPr>
            </w:pPr>
            <w:r>
              <w:rPr>
                <w:rFonts w:ascii="Verdana" w:hAnsi="Verdana"/>
                <w:sz w:val="16"/>
                <w:szCs w:val="16"/>
              </w:rPr>
              <w:t>Janet Pilar Rodriguez</w:t>
            </w:r>
          </w:p>
        </w:tc>
      </w:tr>
      <w:tr w:rsidR="00D27D63" w:rsidRPr="00DD7470" w14:paraId="18130346" w14:textId="77777777" w:rsidTr="00D27D63">
        <w:trPr>
          <w:trHeight w:val="300"/>
        </w:trPr>
        <w:tc>
          <w:tcPr>
            <w:tcW w:w="1095" w:type="dxa"/>
            <w:vAlign w:val="center"/>
          </w:tcPr>
          <w:p w14:paraId="07C28E39" w14:textId="77777777" w:rsidR="00D27D63" w:rsidRPr="00DD7470" w:rsidRDefault="00D27D63" w:rsidP="00D27D63">
            <w:pPr>
              <w:rPr>
                <w:rFonts w:ascii="Verdana" w:hAnsi="Verdana"/>
                <w:sz w:val="16"/>
                <w:szCs w:val="16"/>
              </w:rPr>
            </w:pPr>
            <w:r w:rsidRPr="00DD7470">
              <w:rPr>
                <w:rFonts w:ascii="Verdana" w:hAnsi="Verdana"/>
                <w:sz w:val="16"/>
                <w:szCs w:val="16"/>
              </w:rPr>
              <w:t>Cargo:</w:t>
            </w:r>
          </w:p>
        </w:tc>
        <w:tc>
          <w:tcPr>
            <w:tcW w:w="1605" w:type="dxa"/>
            <w:vAlign w:val="center"/>
          </w:tcPr>
          <w:p w14:paraId="4DD6D33F" w14:textId="3FECDC4B" w:rsidR="00D27D63" w:rsidRPr="00DD7470" w:rsidRDefault="00D27D63" w:rsidP="00D27D63">
            <w:pPr>
              <w:rPr>
                <w:rFonts w:ascii="Verdana" w:hAnsi="Verdana"/>
                <w:sz w:val="16"/>
                <w:szCs w:val="16"/>
              </w:rPr>
            </w:pPr>
            <w:r>
              <w:rPr>
                <w:rFonts w:ascii="Verdana" w:hAnsi="Verdana"/>
                <w:sz w:val="16"/>
                <w:szCs w:val="16"/>
              </w:rPr>
              <w:t>Asesor</w:t>
            </w:r>
          </w:p>
        </w:tc>
        <w:tc>
          <w:tcPr>
            <w:tcW w:w="1095" w:type="dxa"/>
            <w:vAlign w:val="center"/>
          </w:tcPr>
          <w:p w14:paraId="4572F25D" w14:textId="77777777" w:rsidR="00D27D63" w:rsidRPr="00DD7470" w:rsidRDefault="00D27D63" w:rsidP="00D27D63">
            <w:pPr>
              <w:rPr>
                <w:rFonts w:ascii="Verdana" w:hAnsi="Verdana"/>
                <w:sz w:val="16"/>
                <w:szCs w:val="16"/>
              </w:rPr>
            </w:pPr>
            <w:r w:rsidRPr="00DD7470">
              <w:rPr>
                <w:rFonts w:ascii="Verdana" w:hAnsi="Verdana"/>
                <w:sz w:val="16"/>
                <w:szCs w:val="16"/>
              </w:rPr>
              <w:t>Cargo:</w:t>
            </w:r>
          </w:p>
        </w:tc>
        <w:tc>
          <w:tcPr>
            <w:tcW w:w="1605" w:type="dxa"/>
            <w:vAlign w:val="center"/>
          </w:tcPr>
          <w:p w14:paraId="65C8AD1A" w14:textId="3AF7F194" w:rsidR="00D27D63" w:rsidRPr="00DD7470" w:rsidRDefault="00D27D63" w:rsidP="00D27D63">
            <w:pPr>
              <w:rPr>
                <w:rFonts w:ascii="Verdana" w:hAnsi="Verdana"/>
                <w:sz w:val="16"/>
                <w:szCs w:val="16"/>
              </w:rPr>
            </w:pPr>
            <w:r>
              <w:rPr>
                <w:rFonts w:ascii="Verdana" w:hAnsi="Verdana"/>
                <w:sz w:val="16"/>
                <w:szCs w:val="16"/>
              </w:rPr>
              <w:t>Profesional especializado</w:t>
            </w:r>
          </w:p>
        </w:tc>
        <w:tc>
          <w:tcPr>
            <w:tcW w:w="1155" w:type="dxa"/>
            <w:vAlign w:val="center"/>
          </w:tcPr>
          <w:p w14:paraId="5EA5BE0C" w14:textId="77777777" w:rsidR="00D27D63" w:rsidRPr="00DD7470" w:rsidRDefault="00D27D63" w:rsidP="00D27D63">
            <w:pPr>
              <w:rPr>
                <w:rFonts w:ascii="Verdana" w:hAnsi="Verdana"/>
                <w:sz w:val="16"/>
                <w:szCs w:val="16"/>
              </w:rPr>
            </w:pPr>
            <w:r w:rsidRPr="00DD7470">
              <w:rPr>
                <w:rFonts w:ascii="Verdana" w:hAnsi="Verdana"/>
                <w:sz w:val="16"/>
                <w:szCs w:val="16"/>
              </w:rPr>
              <w:t>Cargo:</w:t>
            </w:r>
          </w:p>
        </w:tc>
        <w:tc>
          <w:tcPr>
            <w:tcW w:w="1545" w:type="dxa"/>
            <w:vAlign w:val="center"/>
          </w:tcPr>
          <w:p w14:paraId="1778B904" w14:textId="1ABB4E21" w:rsidR="00D27D63" w:rsidRPr="00DD7470" w:rsidRDefault="00D27D63" w:rsidP="00D27D63">
            <w:pPr>
              <w:rPr>
                <w:rFonts w:ascii="Verdana" w:hAnsi="Verdana"/>
                <w:sz w:val="16"/>
                <w:szCs w:val="16"/>
              </w:rPr>
            </w:pPr>
            <w:r>
              <w:rPr>
                <w:rFonts w:ascii="Verdana" w:hAnsi="Verdana"/>
                <w:sz w:val="16"/>
                <w:szCs w:val="16"/>
              </w:rPr>
              <w:t>Coordinadora Grupo de Contratos (E)</w:t>
            </w:r>
          </w:p>
        </w:tc>
        <w:tc>
          <w:tcPr>
            <w:tcW w:w="1155" w:type="dxa"/>
            <w:vAlign w:val="center"/>
          </w:tcPr>
          <w:p w14:paraId="0D5E7C16" w14:textId="77777777" w:rsidR="00D27D63" w:rsidRPr="00DD7470" w:rsidRDefault="00D27D63" w:rsidP="00D27D63">
            <w:pPr>
              <w:rPr>
                <w:rFonts w:ascii="Verdana" w:hAnsi="Verdana"/>
                <w:sz w:val="16"/>
                <w:szCs w:val="16"/>
              </w:rPr>
            </w:pPr>
            <w:r w:rsidRPr="00DD7470">
              <w:rPr>
                <w:rFonts w:ascii="Verdana" w:hAnsi="Verdana"/>
                <w:sz w:val="16"/>
                <w:szCs w:val="16"/>
              </w:rPr>
              <w:t>Cargo:</w:t>
            </w:r>
          </w:p>
        </w:tc>
        <w:tc>
          <w:tcPr>
            <w:tcW w:w="1545" w:type="dxa"/>
            <w:vAlign w:val="center"/>
          </w:tcPr>
          <w:p w14:paraId="7CCB2338" w14:textId="5CAA8DCA" w:rsidR="00D27D63" w:rsidRPr="00DD7470" w:rsidRDefault="00D27D63" w:rsidP="00D27D63">
            <w:pPr>
              <w:rPr>
                <w:rFonts w:ascii="Verdana" w:hAnsi="Verdana"/>
                <w:sz w:val="16"/>
                <w:szCs w:val="16"/>
              </w:rPr>
            </w:pPr>
            <w:r>
              <w:rPr>
                <w:rFonts w:ascii="Verdana" w:hAnsi="Verdana"/>
                <w:sz w:val="16"/>
                <w:szCs w:val="16"/>
              </w:rPr>
              <w:t>Coordinadora Grupo de Contratos (E)</w:t>
            </w:r>
          </w:p>
        </w:tc>
      </w:tr>
    </w:tbl>
    <w:p w14:paraId="4B7E3D65" w14:textId="740D893F" w:rsidR="00DC2AD0" w:rsidRPr="00DD7470" w:rsidRDefault="00DC2AD0" w:rsidP="009F6E54">
      <w:pPr>
        <w:spacing w:after="0" w:line="240" w:lineRule="auto"/>
        <w:rPr>
          <w:lang w:val="es-ES"/>
        </w:rPr>
      </w:pPr>
    </w:p>
    <w:sectPr w:rsidR="00DC2AD0"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C804" w14:textId="77777777" w:rsidR="001542C2" w:rsidRDefault="001542C2" w:rsidP="009D6623">
      <w:pPr>
        <w:spacing w:after="0" w:line="240" w:lineRule="auto"/>
      </w:pPr>
      <w:r>
        <w:separator/>
      </w:r>
    </w:p>
  </w:endnote>
  <w:endnote w:type="continuationSeparator" w:id="0">
    <w:p w14:paraId="049C5C42" w14:textId="77777777" w:rsidR="001542C2" w:rsidRDefault="001542C2"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Header"/>
            <w:ind w:left="-115"/>
          </w:pPr>
        </w:p>
      </w:tc>
      <w:tc>
        <w:tcPr>
          <w:tcW w:w="3600" w:type="dxa"/>
        </w:tcPr>
        <w:p w14:paraId="318C2DD7" w14:textId="3A194CB9" w:rsidR="1BEF733F" w:rsidRDefault="1BEF733F" w:rsidP="1BEF733F">
          <w:pPr>
            <w:pStyle w:val="Header"/>
            <w:jc w:val="center"/>
          </w:pPr>
        </w:p>
      </w:tc>
      <w:tc>
        <w:tcPr>
          <w:tcW w:w="3600" w:type="dxa"/>
        </w:tcPr>
        <w:p w14:paraId="68500908" w14:textId="406D9BFD" w:rsidR="1BEF733F" w:rsidRDefault="1BEF733F" w:rsidP="1BEF733F">
          <w:pPr>
            <w:pStyle w:val="Header"/>
            <w:ind w:right="-115"/>
            <w:jc w:val="right"/>
          </w:pPr>
        </w:p>
      </w:tc>
    </w:tr>
  </w:tbl>
  <w:p w14:paraId="3AFE48C4" w14:textId="37F2602D" w:rsidR="1BEF733F" w:rsidRDefault="1BEF733F" w:rsidP="1BE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EFB9" w14:textId="77777777" w:rsidR="001542C2" w:rsidRDefault="001542C2" w:rsidP="009D6623">
      <w:pPr>
        <w:spacing w:after="0" w:line="240" w:lineRule="auto"/>
      </w:pPr>
      <w:r>
        <w:separator/>
      </w:r>
    </w:p>
  </w:footnote>
  <w:footnote w:type="continuationSeparator" w:id="0">
    <w:p w14:paraId="01FCCD33" w14:textId="77777777" w:rsidR="001542C2" w:rsidRDefault="001542C2"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Heade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1BEF733F">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13914029">
                <wp:simplePos x="0" y="0"/>
                <wp:positionH relativeFrom="column">
                  <wp:posOffset>-21590</wp:posOffset>
                </wp:positionH>
                <wp:positionV relativeFrom="paragraph">
                  <wp:posOffset>20320</wp:posOffset>
                </wp:positionV>
                <wp:extent cx="986155" cy="601980"/>
                <wp:effectExtent l="0" t="0" r="4445" b="762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86155" cy="60198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4B9492B2" w:rsidR="001A798F" w:rsidRPr="00666AB9" w:rsidRDefault="001A798F" w:rsidP="001A798F">
          <w:pPr>
            <w:spacing w:after="0"/>
            <w:jc w:val="center"/>
            <w:rPr>
              <w:rFonts w:ascii="Verdana" w:hAnsi="Verdana"/>
            </w:rPr>
          </w:pPr>
          <w:r w:rsidRPr="00666AB9">
            <w:rPr>
              <w:rFonts w:ascii="Verdana" w:eastAsia="Arial" w:hAnsi="Verdana" w:cs="Arial"/>
              <w:b/>
              <w:bCs/>
              <w:color w:val="000000" w:themeColor="text1"/>
              <w:sz w:val="18"/>
              <w:szCs w:val="18"/>
            </w:rPr>
            <w:t>Proceso</w:t>
          </w:r>
          <w:r w:rsidR="006E128C">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7102BB" w:rsidRPr="007102BB">
            <w:rPr>
              <w:rFonts w:ascii="Verdana" w:eastAsia="Arial" w:hAnsi="Verdana" w:cs="Arial"/>
              <w:b/>
              <w:bCs/>
              <w:color w:val="000000" w:themeColor="text1"/>
              <w:sz w:val="18"/>
              <w:szCs w:val="18"/>
            </w:rPr>
            <w:t>Gestión de Recurso</w:t>
          </w:r>
          <w:r w:rsidR="006E128C">
            <w:rPr>
              <w:rFonts w:ascii="Verdana" w:eastAsia="Arial" w:hAnsi="Verdana" w:cs="Arial"/>
              <w:b/>
              <w:bCs/>
              <w:color w:val="000000" w:themeColor="text1"/>
              <w:sz w:val="18"/>
              <w:szCs w:val="18"/>
            </w:rPr>
            <w:t>s</w:t>
          </w:r>
        </w:p>
      </w:tc>
    </w:tr>
    <w:tr w:rsidR="001A798F" w:rsidRPr="00666AB9" w14:paraId="5E6B1847" w14:textId="77777777" w:rsidTr="1BEF733F">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4CCDD6A5" w:rsidR="001A798F" w:rsidRPr="00666AB9" w:rsidRDefault="00BC3A68" w:rsidP="001A798F">
          <w:pPr>
            <w:spacing w:after="0"/>
            <w:jc w:val="center"/>
            <w:rPr>
              <w:rFonts w:ascii="Verdana" w:eastAsia="Arial" w:hAnsi="Verdana" w:cs="Arial"/>
              <w:b/>
              <w:bCs/>
              <w:color w:val="000000" w:themeColor="text1"/>
              <w:sz w:val="24"/>
              <w:szCs w:val="24"/>
            </w:rPr>
          </w:pPr>
          <w:r w:rsidRPr="00BC3A68">
            <w:rPr>
              <w:rFonts w:ascii="Verdana" w:eastAsia="Arial" w:hAnsi="Verdana" w:cs="Arial"/>
              <w:b/>
              <w:bCs/>
              <w:color w:val="000000" w:themeColor="text1"/>
              <w:sz w:val="24"/>
              <w:szCs w:val="24"/>
            </w:rPr>
            <w:t>GUÍA PARA ELABORAR ESTUDIOS DE MERCADO</w:t>
          </w:r>
        </w:p>
      </w:tc>
    </w:tr>
    <w:tr w:rsidR="001A798F" w:rsidRPr="00666AB9" w14:paraId="64F78FCC" w14:textId="77777777" w:rsidTr="1BEF733F">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032D922E" w:rsidR="001A798F" w:rsidRPr="00666AB9" w:rsidRDefault="006E128C"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GR-DR-00</w:t>
          </w:r>
          <w:r w:rsidR="00D27D63">
            <w:rPr>
              <w:rFonts w:ascii="Verdana" w:eastAsia="Arial" w:hAnsi="Verdana" w:cs="Arial"/>
              <w:color w:val="000000" w:themeColor="text1"/>
              <w:sz w:val="14"/>
              <w:szCs w:val="14"/>
            </w:rPr>
            <w:t>9</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1A671B20" w:rsidR="001A798F" w:rsidRPr="00666AB9" w:rsidRDefault="006E128C"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5A6AC464" w:rsidR="001A798F" w:rsidRPr="00666AB9" w:rsidRDefault="006E128C"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p>
      </w:tc>
    </w:tr>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Header"/>
            <w:ind w:left="-115"/>
          </w:pPr>
        </w:p>
      </w:tc>
      <w:tc>
        <w:tcPr>
          <w:tcW w:w="3600" w:type="dxa"/>
        </w:tcPr>
        <w:p w14:paraId="660D5B4B" w14:textId="1D6431E1" w:rsidR="1BEF733F" w:rsidRDefault="1BEF733F" w:rsidP="1BEF733F">
          <w:pPr>
            <w:pStyle w:val="Header"/>
            <w:jc w:val="center"/>
          </w:pPr>
        </w:p>
      </w:tc>
      <w:tc>
        <w:tcPr>
          <w:tcW w:w="3600" w:type="dxa"/>
        </w:tcPr>
        <w:p w14:paraId="66829DA4" w14:textId="2F8D83C2" w:rsidR="1BEF733F" w:rsidRDefault="1BEF733F" w:rsidP="1BEF733F">
          <w:pPr>
            <w:pStyle w:val="Header"/>
            <w:ind w:right="-115"/>
            <w:jc w:val="right"/>
          </w:pPr>
        </w:p>
      </w:tc>
    </w:tr>
  </w:tbl>
  <w:p w14:paraId="7FE06108" w14:textId="335D9C32" w:rsidR="1BEF733F" w:rsidRDefault="1BEF733F" w:rsidP="1BEF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314B9F"/>
    <w:multiLevelType w:val="hybridMultilevel"/>
    <w:tmpl w:val="AADE9E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81F78FE"/>
    <w:multiLevelType w:val="multilevel"/>
    <w:tmpl w:val="1AC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5"/>
  </w:num>
  <w:num w:numId="2" w16cid:durableId="1785071631">
    <w:abstractNumId w:val="31"/>
  </w:num>
  <w:num w:numId="3" w16cid:durableId="469713837">
    <w:abstractNumId w:val="5"/>
  </w:num>
  <w:num w:numId="4" w16cid:durableId="313753029">
    <w:abstractNumId w:val="32"/>
  </w:num>
  <w:num w:numId="5" w16cid:durableId="761414368">
    <w:abstractNumId w:val="27"/>
  </w:num>
  <w:num w:numId="6" w16cid:durableId="598954898">
    <w:abstractNumId w:val="11"/>
  </w:num>
  <w:num w:numId="7" w16cid:durableId="1112825659">
    <w:abstractNumId w:val="34"/>
  </w:num>
  <w:num w:numId="8" w16cid:durableId="410395644">
    <w:abstractNumId w:val="35"/>
  </w:num>
  <w:num w:numId="9" w16cid:durableId="2030987592">
    <w:abstractNumId w:val="19"/>
  </w:num>
  <w:num w:numId="10" w16cid:durableId="1498110048">
    <w:abstractNumId w:val="24"/>
  </w:num>
  <w:num w:numId="11" w16cid:durableId="1971979863">
    <w:abstractNumId w:val="29"/>
  </w:num>
  <w:num w:numId="12" w16cid:durableId="653801403">
    <w:abstractNumId w:val="20"/>
  </w:num>
  <w:num w:numId="13" w16cid:durableId="267398149">
    <w:abstractNumId w:val="10"/>
  </w:num>
  <w:num w:numId="14" w16cid:durableId="414786405">
    <w:abstractNumId w:val="37"/>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5"/>
  </w:num>
  <w:num w:numId="21" w16cid:durableId="1384253501">
    <w:abstractNumId w:val="4"/>
  </w:num>
  <w:num w:numId="22" w16cid:durableId="852301951">
    <w:abstractNumId w:val="18"/>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3"/>
  </w:num>
  <w:num w:numId="29" w16cid:durableId="1736467461">
    <w:abstractNumId w:val="30"/>
  </w:num>
  <w:num w:numId="30" w16cid:durableId="1482691342">
    <w:abstractNumId w:val="26"/>
  </w:num>
  <w:num w:numId="31" w16cid:durableId="90974215">
    <w:abstractNumId w:val="21"/>
  </w:num>
  <w:num w:numId="32" w16cid:durableId="780688056">
    <w:abstractNumId w:val="3"/>
  </w:num>
  <w:num w:numId="33" w16cid:durableId="1643777276">
    <w:abstractNumId w:val="36"/>
  </w:num>
  <w:num w:numId="34" w16cid:durableId="352269829">
    <w:abstractNumId w:val="17"/>
  </w:num>
  <w:num w:numId="35" w16cid:durableId="1262492478">
    <w:abstractNumId w:val="22"/>
  </w:num>
  <w:num w:numId="36" w16cid:durableId="1097672555">
    <w:abstractNumId w:val="8"/>
  </w:num>
  <w:num w:numId="37" w16cid:durableId="1298535693">
    <w:abstractNumId w:val="23"/>
  </w:num>
  <w:num w:numId="38" w16cid:durableId="680354401">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47725"/>
    <w:rsid w:val="00055DD2"/>
    <w:rsid w:val="00057478"/>
    <w:rsid w:val="00062688"/>
    <w:rsid w:val="0006736C"/>
    <w:rsid w:val="00074F67"/>
    <w:rsid w:val="00083255"/>
    <w:rsid w:val="00094A67"/>
    <w:rsid w:val="000962FB"/>
    <w:rsid w:val="00096E43"/>
    <w:rsid w:val="000A7E95"/>
    <w:rsid w:val="000D07F6"/>
    <w:rsid w:val="000D615C"/>
    <w:rsid w:val="000D61CC"/>
    <w:rsid w:val="000E1A1D"/>
    <w:rsid w:val="000E6A0B"/>
    <w:rsid w:val="000F3B15"/>
    <w:rsid w:val="000F4C20"/>
    <w:rsid w:val="0010719B"/>
    <w:rsid w:val="00107941"/>
    <w:rsid w:val="001130A6"/>
    <w:rsid w:val="001239C0"/>
    <w:rsid w:val="001376F8"/>
    <w:rsid w:val="00144CA2"/>
    <w:rsid w:val="001451A5"/>
    <w:rsid w:val="0014641C"/>
    <w:rsid w:val="00147518"/>
    <w:rsid w:val="001542C2"/>
    <w:rsid w:val="001559F5"/>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22A31"/>
    <w:rsid w:val="00227257"/>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B7E01"/>
    <w:rsid w:val="002C1018"/>
    <w:rsid w:val="002C4156"/>
    <w:rsid w:val="002D6654"/>
    <w:rsid w:val="002E152E"/>
    <w:rsid w:val="002E7BB6"/>
    <w:rsid w:val="002F2A8C"/>
    <w:rsid w:val="0030108A"/>
    <w:rsid w:val="00305D2E"/>
    <w:rsid w:val="00311E97"/>
    <w:rsid w:val="00317C0F"/>
    <w:rsid w:val="003202E6"/>
    <w:rsid w:val="00330AA7"/>
    <w:rsid w:val="003439EC"/>
    <w:rsid w:val="00357EC0"/>
    <w:rsid w:val="00384168"/>
    <w:rsid w:val="00384194"/>
    <w:rsid w:val="00393D7C"/>
    <w:rsid w:val="003A067E"/>
    <w:rsid w:val="003B0CAC"/>
    <w:rsid w:val="003B7C85"/>
    <w:rsid w:val="003C5B74"/>
    <w:rsid w:val="003D7D30"/>
    <w:rsid w:val="003E35CC"/>
    <w:rsid w:val="003F0C15"/>
    <w:rsid w:val="003F59A2"/>
    <w:rsid w:val="003F6FBA"/>
    <w:rsid w:val="00401AF4"/>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B0186"/>
    <w:rsid w:val="004B62D5"/>
    <w:rsid w:val="004C2187"/>
    <w:rsid w:val="004D3DEA"/>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27C"/>
    <w:rsid w:val="005A6D25"/>
    <w:rsid w:val="005B3E0A"/>
    <w:rsid w:val="005B5DC6"/>
    <w:rsid w:val="005B740A"/>
    <w:rsid w:val="005D0273"/>
    <w:rsid w:val="005D56FF"/>
    <w:rsid w:val="005E57B4"/>
    <w:rsid w:val="005E7CA5"/>
    <w:rsid w:val="005F1B38"/>
    <w:rsid w:val="005F3740"/>
    <w:rsid w:val="006000E6"/>
    <w:rsid w:val="0060258A"/>
    <w:rsid w:val="00603CF4"/>
    <w:rsid w:val="00604B12"/>
    <w:rsid w:val="006108ED"/>
    <w:rsid w:val="00612F6C"/>
    <w:rsid w:val="00616B77"/>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B3F05"/>
    <w:rsid w:val="006C19FE"/>
    <w:rsid w:val="006C4BD1"/>
    <w:rsid w:val="006C614A"/>
    <w:rsid w:val="006E128C"/>
    <w:rsid w:val="006E66A2"/>
    <w:rsid w:val="006E75BB"/>
    <w:rsid w:val="00702087"/>
    <w:rsid w:val="007102BB"/>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A1132"/>
    <w:rsid w:val="007A1BF3"/>
    <w:rsid w:val="007A7E4F"/>
    <w:rsid w:val="007B068A"/>
    <w:rsid w:val="007B0B74"/>
    <w:rsid w:val="007C2159"/>
    <w:rsid w:val="007C3E5B"/>
    <w:rsid w:val="007C7AD9"/>
    <w:rsid w:val="007D110D"/>
    <w:rsid w:val="007D2DC0"/>
    <w:rsid w:val="007E0BDC"/>
    <w:rsid w:val="0080740F"/>
    <w:rsid w:val="00813C24"/>
    <w:rsid w:val="00820A5E"/>
    <w:rsid w:val="00823028"/>
    <w:rsid w:val="008242DF"/>
    <w:rsid w:val="00841695"/>
    <w:rsid w:val="00845294"/>
    <w:rsid w:val="008519BA"/>
    <w:rsid w:val="00867A27"/>
    <w:rsid w:val="00872E2D"/>
    <w:rsid w:val="008772DF"/>
    <w:rsid w:val="00877EA8"/>
    <w:rsid w:val="00880D5F"/>
    <w:rsid w:val="0089200C"/>
    <w:rsid w:val="008925DA"/>
    <w:rsid w:val="00897470"/>
    <w:rsid w:val="008A4241"/>
    <w:rsid w:val="008A66DE"/>
    <w:rsid w:val="008A6BEF"/>
    <w:rsid w:val="008B3371"/>
    <w:rsid w:val="008B574B"/>
    <w:rsid w:val="008C00A7"/>
    <w:rsid w:val="008C4F1E"/>
    <w:rsid w:val="008D7A27"/>
    <w:rsid w:val="00901A01"/>
    <w:rsid w:val="00901CA8"/>
    <w:rsid w:val="00903162"/>
    <w:rsid w:val="00927172"/>
    <w:rsid w:val="009429EC"/>
    <w:rsid w:val="00954AE2"/>
    <w:rsid w:val="00963811"/>
    <w:rsid w:val="00964225"/>
    <w:rsid w:val="009652CF"/>
    <w:rsid w:val="0097187E"/>
    <w:rsid w:val="0097462E"/>
    <w:rsid w:val="00976DAE"/>
    <w:rsid w:val="00981FE3"/>
    <w:rsid w:val="009824BD"/>
    <w:rsid w:val="00983B19"/>
    <w:rsid w:val="00990F9C"/>
    <w:rsid w:val="00992E9C"/>
    <w:rsid w:val="00994FD0"/>
    <w:rsid w:val="009A163B"/>
    <w:rsid w:val="009A2CEE"/>
    <w:rsid w:val="009C49DD"/>
    <w:rsid w:val="009C666C"/>
    <w:rsid w:val="009D2772"/>
    <w:rsid w:val="009D656B"/>
    <w:rsid w:val="009D6623"/>
    <w:rsid w:val="009D7044"/>
    <w:rsid w:val="009F24E9"/>
    <w:rsid w:val="009F2A8F"/>
    <w:rsid w:val="009F5751"/>
    <w:rsid w:val="009F6E54"/>
    <w:rsid w:val="00A00FC3"/>
    <w:rsid w:val="00A0274E"/>
    <w:rsid w:val="00A0442A"/>
    <w:rsid w:val="00A06762"/>
    <w:rsid w:val="00A12DAF"/>
    <w:rsid w:val="00A202C6"/>
    <w:rsid w:val="00A31452"/>
    <w:rsid w:val="00A31932"/>
    <w:rsid w:val="00A31DF0"/>
    <w:rsid w:val="00A4102D"/>
    <w:rsid w:val="00A4408C"/>
    <w:rsid w:val="00A45AEA"/>
    <w:rsid w:val="00A5523C"/>
    <w:rsid w:val="00A72E00"/>
    <w:rsid w:val="00A74352"/>
    <w:rsid w:val="00A7632C"/>
    <w:rsid w:val="00A77E48"/>
    <w:rsid w:val="00A8081F"/>
    <w:rsid w:val="00A93AD6"/>
    <w:rsid w:val="00A97B74"/>
    <w:rsid w:val="00AA6187"/>
    <w:rsid w:val="00AB061E"/>
    <w:rsid w:val="00AB223C"/>
    <w:rsid w:val="00AB6A1A"/>
    <w:rsid w:val="00AC2103"/>
    <w:rsid w:val="00AC6931"/>
    <w:rsid w:val="00AD7504"/>
    <w:rsid w:val="00B00614"/>
    <w:rsid w:val="00B12F42"/>
    <w:rsid w:val="00B21472"/>
    <w:rsid w:val="00B26634"/>
    <w:rsid w:val="00B27943"/>
    <w:rsid w:val="00B330B1"/>
    <w:rsid w:val="00B408A1"/>
    <w:rsid w:val="00B456A6"/>
    <w:rsid w:val="00B46673"/>
    <w:rsid w:val="00B52885"/>
    <w:rsid w:val="00B65F21"/>
    <w:rsid w:val="00B66E35"/>
    <w:rsid w:val="00B70CD2"/>
    <w:rsid w:val="00B74CE4"/>
    <w:rsid w:val="00B80F6C"/>
    <w:rsid w:val="00B813A2"/>
    <w:rsid w:val="00B86C62"/>
    <w:rsid w:val="00B930BF"/>
    <w:rsid w:val="00B934A0"/>
    <w:rsid w:val="00BB632C"/>
    <w:rsid w:val="00BB74D5"/>
    <w:rsid w:val="00BC06AA"/>
    <w:rsid w:val="00BC3A68"/>
    <w:rsid w:val="00BC5D3C"/>
    <w:rsid w:val="00BC65D0"/>
    <w:rsid w:val="00BC79FC"/>
    <w:rsid w:val="00BD113A"/>
    <w:rsid w:val="00BD2BF2"/>
    <w:rsid w:val="00C0398F"/>
    <w:rsid w:val="00C1302F"/>
    <w:rsid w:val="00C17FB3"/>
    <w:rsid w:val="00C3506A"/>
    <w:rsid w:val="00C3752F"/>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CF5B0A"/>
    <w:rsid w:val="00D27D63"/>
    <w:rsid w:val="00D44A38"/>
    <w:rsid w:val="00D4760A"/>
    <w:rsid w:val="00D47CBF"/>
    <w:rsid w:val="00D5100A"/>
    <w:rsid w:val="00D518E1"/>
    <w:rsid w:val="00D51EE1"/>
    <w:rsid w:val="00D66B40"/>
    <w:rsid w:val="00D67F8A"/>
    <w:rsid w:val="00D705B9"/>
    <w:rsid w:val="00D82B1A"/>
    <w:rsid w:val="00D84E3C"/>
    <w:rsid w:val="00D875E8"/>
    <w:rsid w:val="00D9205E"/>
    <w:rsid w:val="00D94902"/>
    <w:rsid w:val="00D953E9"/>
    <w:rsid w:val="00DA2908"/>
    <w:rsid w:val="00DB3685"/>
    <w:rsid w:val="00DB58EE"/>
    <w:rsid w:val="00DC0AE2"/>
    <w:rsid w:val="00DC1A54"/>
    <w:rsid w:val="00DC2AD0"/>
    <w:rsid w:val="00DC3B67"/>
    <w:rsid w:val="00DC5F1A"/>
    <w:rsid w:val="00DD02D8"/>
    <w:rsid w:val="00DD3FB4"/>
    <w:rsid w:val="00DD4C0F"/>
    <w:rsid w:val="00DD512B"/>
    <w:rsid w:val="00DD7470"/>
    <w:rsid w:val="00DF0CC3"/>
    <w:rsid w:val="00E0063C"/>
    <w:rsid w:val="00E021A0"/>
    <w:rsid w:val="00E035D2"/>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62A"/>
    <w:rsid w:val="00F20F9B"/>
    <w:rsid w:val="00F22008"/>
    <w:rsid w:val="00F26C12"/>
    <w:rsid w:val="00F35BA1"/>
    <w:rsid w:val="00F378A6"/>
    <w:rsid w:val="00F5008B"/>
    <w:rsid w:val="00F52001"/>
    <w:rsid w:val="00F64C75"/>
    <w:rsid w:val="00F71A4F"/>
    <w:rsid w:val="00F72178"/>
    <w:rsid w:val="00F72A9A"/>
    <w:rsid w:val="00F766C7"/>
    <w:rsid w:val="00F774A1"/>
    <w:rsid w:val="00F86FA4"/>
    <w:rsid w:val="00FA4570"/>
    <w:rsid w:val="00FB3B69"/>
    <w:rsid w:val="00FC0FE0"/>
    <w:rsid w:val="00FC1D9C"/>
    <w:rsid w:val="00FC3C1A"/>
    <w:rsid w:val="00FC6110"/>
    <w:rsid w:val="00FE0443"/>
    <w:rsid w:val="00FE235F"/>
    <w:rsid w:val="00FE5A1C"/>
    <w:rsid w:val="00FF34E5"/>
    <w:rsid w:val="00FF60E9"/>
    <w:rsid w:val="01249D1A"/>
    <w:rsid w:val="02053453"/>
    <w:rsid w:val="044D145B"/>
    <w:rsid w:val="04E37812"/>
    <w:rsid w:val="06D68D5F"/>
    <w:rsid w:val="088C5530"/>
    <w:rsid w:val="0C4F864B"/>
    <w:rsid w:val="0C7D8021"/>
    <w:rsid w:val="0E7B3EB9"/>
    <w:rsid w:val="1094A94A"/>
    <w:rsid w:val="13302E2A"/>
    <w:rsid w:val="1BEF733F"/>
    <w:rsid w:val="1F5A4507"/>
    <w:rsid w:val="23DD58A2"/>
    <w:rsid w:val="2FAC17E4"/>
    <w:rsid w:val="30333070"/>
    <w:rsid w:val="3A3A4635"/>
    <w:rsid w:val="4F1F7174"/>
    <w:rsid w:val="5373E9A4"/>
    <w:rsid w:val="53DDA233"/>
    <w:rsid w:val="5A0B3A09"/>
    <w:rsid w:val="5D5211C2"/>
    <w:rsid w:val="5DC78873"/>
    <w:rsid w:val="5E140982"/>
    <w:rsid w:val="63275687"/>
    <w:rsid w:val="64C1848E"/>
    <w:rsid w:val="68F2A381"/>
    <w:rsid w:val="6DC5551B"/>
    <w:rsid w:val="6F0E2A4E"/>
    <w:rsid w:val="6F159AA7"/>
    <w:rsid w:val="7366B4E5"/>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34"/>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2.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3.xml><?xml version="1.0" encoding="utf-8"?>
<ds:datastoreItem xmlns:ds="http://schemas.openxmlformats.org/officeDocument/2006/customXml" ds:itemID="{3A47B813-74C9-4B81-B960-57FD9DEA1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1369</Words>
  <Characters>7532</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6</cp:revision>
  <cp:lastPrinted>2026-06-09T03:31:00Z</cp:lastPrinted>
  <dcterms:created xsi:type="dcterms:W3CDTF">2026-06-09T03:22:00Z</dcterms:created>
  <dcterms:modified xsi:type="dcterms:W3CDTF">2026-06-09T03:45:00Z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