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535C84" w:rsidR="005A4980" w:rsidTr="00B728A9" w14:paraId="63D6ADE1" w14:textId="77777777">
        <w:trPr>
          <w:trHeight w:val="1193"/>
        </w:trPr>
        <w:tc>
          <w:tcPr>
            <w:tcW w:w="8828" w:type="dxa"/>
          </w:tcPr>
          <w:p w:rsidRPr="00E51E6F" w:rsidR="005A4980" w:rsidP="00E51E6F" w:rsidRDefault="005A4980" w14:paraId="0F2D9C6D" w14:textId="444F462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B7247">
              <w:rPr>
                <w:rFonts w:ascii="Verdana" w:hAnsi="Verdana"/>
                <w:sz w:val="22"/>
                <w:szCs w:val="22"/>
              </w:rPr>
              <w:t xml:space="preserve">El presente formato de Evaluación de la Auditoría Interna tiene como propósito </w:t>
            </w:r>
            <w:r w:rsidRPr="001B7247" w:rsidR="001B7247">
              <w:rPr>
                <w:rFonts w:ascii="Verdana" w:hAnsi="Verdana"/>
                <w:sz w:val="22"/>
                <w:szCs w:val="22"/>
              </w:rPr>
              <w:t xml:space="preserve">conocer la percepción sobre la contribución </w:t>
            </w:r>
            <w:r w:rsidRPr="001B7247">
              <w:rPr>
                <w:rFonts w:ascii="Verdana" w:hAnsi="Verdana"/>
                <w:sz w:val="22"/>
                <w:szCs w:val="22"/>
              </w:rPr>
              <w:t>de la auditoría interna</w:t>
            </w:r>
            <w:r w:rsidRPr="001B7247" w:rsidR="001B7247">
              <w:rPr>
                <w:rFonts w:ascii="Verdana" w:hAnsi="Verdana"/>
                <w:sz w:val="22"/>
                <w:szCs w:val="22"/>
              </w:rPr>
              <w:t xml:space="preserve"> para la mejora continua</w:t>
            </w:r>
            <w:r w:rsidRPr="001B7247">
              <w:rPr>
                <w:rFonts w:ascii="Verdana" w:hAnsi="Verdana"/>
                <w:sz w:val="22"/>
                <w:szCs w:val="22"/>
              </w:rPr>
              <w:t>, en concordancia con los lineamientos establecidos en las normas globales de auditoría interna.</w:t>
            </w:r>
          </w:p>
        </w:tc>
      </w:tr>
    </w:tbl>
    <w:p w:rsidR="005A4980" w:rsidP="0000093C" w:rsidRDefault="005A4980" w14:paraId="37AC74A7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Pr="00535C84" w:rsidR="00E51E6F" w:rsidTr="00675B30" w14:paraId="478A6418" w14:textId="77777777">
        <w:tc>
          <w:tcPr>
            <w:tcW w:w="4531" w:type="dxa"/>
          </w:tcPr>
          <w:p w:rsidRPr="00E51E6F" w:rsidR="00E51E6F" w:rsidP="00E51E6F" w:rsidRDefault="00C56DDE" w14:paraId="3F540028" w14:textId="3C14BDF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Unidad Auditable:</w:t>
            </w:r>
          </w:p>
        </w:tc>
        <w:tc>
          <w:tcPr>
            <w:tcW w:w="4297" w:type="dxa"/>
          </w:tcPr>
          <w:p w:rsidRPr="00E51E6F" w:rsidR="00E51E6F" w:rsidP="00E51E6F" w:rsidRDefault="00E51E6F" w14:paraId="1FB03FC0" w14:textId="481B7D4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C56DDE" w:rsidTr="00675B30" w14:paraId="463905A1" w14:textId="77777777">
        <w:tc>
          <w:tcPr>
            <w:tcW w:w="4531" w:type="dxa"/>
          </w:tcPr>
          <w:p w:rsidRPr="00E51E6F" w:rsidR="00C56DDE" w:rsidP="00E51E6F" w:rsidRDefault="00C56DDE" w14:paraId="531377B4" w14:textId="2EF5BA43">
            <w:pPr>
              <w:rPr>
                <w:rFonts w:ascii="Verdana" w:hAnsi="Verdana"/>
                <w:sz w:val="22"/>
                <w:szCs w:val="22"/>
              </w:rPr>
            </w:pPr>
            <w:r w:rsidRPr="00E51E6F">
              <w:rPr>
                <w:rFonts w:ascii="Verdana" w:hAnsi="Verdana"/>
                <w:sz w:val="22"/>
                <w:szCs w:val="22"/>
              </w:rPr>
              <w:t>Objetivo</w:t>
            </w:r>
            <w:r>
              <w:rPr>
                <w:rFonts w:ascii="Verdana" w:hAnsi="Verdana"/>
                <w:sz w:val="22"/>
                <w:szCs w:val="22"/>
              </w:rPr>
              <w:t xml:space="preserve"> de la Auditoría Interna:</w:t>
            </w:r>
          </w:p>
        </w:tc>
        <w:tc>
          <w:tcPr>
            <w:tcW w:w="4297" w:type="dxa"/>
          </w:tcPr>
          <w:p w:rsidRPr="00E51E6F" w:rsidR="00C56DDE" w:rsidP="00E51E6F" w:rsidRDefault="00C56DDE" w14:paraId="2CE41CFE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675B30" w14:paraId="529F4963" w14:textId="77777777">
        <w:tc>
          <w:tcPr>
            <w:tcW w:w="4531" w:type="dxa"/>
          </w:tcPr>
          <w:p w:rsidR="00E51E6F" w:rsidP="00535C84" w:rsidRDefault="00E51E6F" w14:paraId="22052A33" w14:textId="0661FEB0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Fecha de la Auditoría Interna</w:t>
            </w:r>
          </w:p>
        </w:tc>
        <w:tc>
          <w:tcPr>
            <w:tcW w:w="4297" w:type="dxa"/>
          </w:tcPr>
          <w:p w:rsidRPr="00535C84" w:rsidR="00E51E6F" w:rsidP="00535C84" w:rsidRDefault="00E51E6F" w14:paraId="3B309A61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675B30" w14:paraId="03CA4250" w14:textId="77777777">
        <w:tc>
          <w:tcPr>
            <w:tcW w:w="4531" w:type="dxa"/>
          </w:tcPr>
          <w:p w:rsidR="00E51E6F" w:rsidP="00535C84" w:rsidRDefault="00E51E6F" w14:paraId="6FC8D4B0" w14:textId="00B3D5DC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Nombre del Evaluador:</w:t>
            </w:r>
          </w:p>
        </w:tc>
        <w:tc>
          <w:tcPr>
            <w:tcW w:w="4297" w:type="dxa"/>
          </w:tcPr>
          <w:p w:rsidRPr="00535C84" w:rsidR="00E51E6F" w:rsidP="00535C84" w:rsidRDefault="00E51E6F" w14:paraId="06945695" w14:textId="77777777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675B30" w14:paraId="48BD55D3" w14:textId="77777777">
        <w:tc>
          <w:tcPr>
            <w:tcW w:w="4531" w:type="dxa"/>
          </w:tcPr>
          <w:p w:rsidRPr="00535C84" w:rsidR="00E51E6F" w:rsidP="00535C84" w:rsidRDefault="00E51E6F" w14:paraId="2B8B4EA7" w14:textId="354FEA6E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Fecha de Evaluación:</w:t>
            </w:r>
          </w:p>
        </w:tc>
        <w:tc>
          <w:tcPr>
            <w:tcW w:w="4297" w:type="dxa"/>
          </w:tcPr>
          <w:p w:rsidRPr="00535C84" w:rsidR="00E51E6F" w:rsidP="00535C84" w:rsidRDefault="00E51E6F" w14:paraId="37A825C2" w14:textId="15A30F3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Pr="00535C84" w:rsidR="00E51E6F" w:rsidTr="007F5ADF" w14:paraId="743E1459" w14:textId="77777777">
        <w:tc>
          <w:tcPr>
            <w:tcW w:w="8828" w:type="dxa"/>
            <w:gridSpan w:val="2"/>
          </w:tcPr>
          <w:p w:rsidRPr="00C56DDE" w:rsidR="00E51E6F" w:rsidP="00535C84" w:rsidRDefault="00E51E6F" w14:paraId="136581F0" w14:textId="734BAEB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51E6F">
              <w:rPr>
                <w:rFonts w:ascii="Verdana" w:hAnsi="Verdana"/>
                <w:sz w:val="22"/>
                <w:szCs w:val="22"/>
              </w:rPr>
              <w:t xml:space="preserve">A continuación, encontrará una serie de preguntas cuya respuesta </w:t>
            </w:r>
            <w:r w:rsidRPr="00C56DDE">
              <w:rPr>
                <w:rFonts w:ascii="Verdana" w:hAnsi="Verdana"/>
                <w:sz w:val="22"/>
                <w:szCs w:val="22"/>
              </w:rPr>
              <w:t>debes señalar en una escala de valores así:</w:t>
            </w:r>
          </w:p>
          <w:p w:rsidRPr="00535C84" w:rsidR="00E51E6F" w:rsidP="00E51E6F" w:rsidRDefault="00E51E6F" w14:paraId="027C43B4" w14:textId="5CD9E8D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56DDE">
              <w:rPr>
                <w:rFonts w:ascii="Verdana" w:hAnsi="Verdana"/>
                <w:sz w:val="22"/>
                <w:szCs w:val="22"/>
              </w:rPr>
              <w:t>D=Deficiente - R=Regular - B=Bueno - E=Excelente</w:t>
            </w:r>
          </w:p>
        </w:tc>
      </w:tr>
    </w:tbl>
    <w:p w:rsidR="00675B30" w:rsidP="00864AB4" w:rsidRDefault="00675B30" w14:paraId="45B6D9A2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993"/>
        <w:gridCol w:w="1036"/>
      </w:tblGrid>
      <w:tr w:rsidRPr="00535C84" w:rsidR="00675B30" w:rsidTr="00675B30" w14:paraId="6615E266" w14:textId="77777777">
        <w:tc>
          <w:tcPr>
            <w:tcW w:w="4531" w:type="dxa"/>
          </w:tcPr>
          <w:p w:rsidRPr="00675B30" w:rsidR="00675B30" w:rsidP="00675B30" w:rsidRDefault="00675B30" w14:paraId="7CF85989" w14:textId="0CB8A89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75B30">
              <w:rPr>
                <w:rFonts w:ascii="Verdana" w:hAnsi="Verdana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1134" w:type="dxa"/>
          </w:tcPr>
          <w:p w:rsidRPr="00675B30" w:rsidR="00675B30" w:rsidP="00675B30" w:rsidRDefault="0042761D" w14:paraId="5E8FD5C7" w14:textId="27B2F7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:rsidRPr="00675B30" w:rsidR="00675B30" w:rsidP="00675B30" w:rsidRDefault="0042761D" w14:paraId="4F091A9E" w14:textId="17E0204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93" w:type="dxa"/>
          </w:tcPr>
          <w:p w:rsidRPr="00675B30" w:rsidR="00675B30" w:rsidP="00675B30" w:rsidRDefault="0042761D" w14:paraId="2B4F0BBF" w14:textId="0C42A08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036" w:type="dxa"/>
          </w:tcPr>
          <w:p w:rsidRPr="00675B30" w:rsidR="00675B30" w:rsidP="00675B30" w:rsidRDefault="0042761D" w14:paraId="6225FADD" w14:textId="7314397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</w:t>
            </w:r>
          </w:p>
        </w:tc>
      </w:tr>
      <w:tr w:rsidRPr="00535C84" w:rsidR="002229FB" w:rsidTr="00675B30" w14:paraId="024B8588" w14:textId="77777777">
        <w:tc>
          <w:tcPr>
            <w:tcW w:w="4531" w:type="dxa"/>
          </w:tcPr>
          <w:p w:rsidRPr="00675B30" w:rsidR="002229FB" w:rsidP="002229FB" w:rsidRDefault="00C471E5" w14:paraId="6F1A65D3" w14:textId="285937A0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Contribución</w:t>
            </w:r>
            <w:r w:rsidRPr="002229FB" w:rsidR="002229FB">
              <w:rPr>
                <w:rFonts w:ascii="Verdana" w:hAnsi="Verdana"/>
                <w:sz w:val="22"/>
                <w:szCs w:val="22"/>
              </w:rPr>
              <w:t xml:space="preserve"> de la auditoría al mejoramiento </w:t>
            </w:r>
            <w:r w:rsidR="00791E5E">
              <w:rPr>
                <w:rFonts w:ascii="Verdana" w:hAnsi="Verdana"/>
                <w:sz w:val="22"/>
                <w:szCs w:val="22"/>
              </w:rPr>
              <w:t>de la unidad auditable</w:t>
            </w:r>
          </w:p>
        </w:tc>
        <w:tc>
          <w:tcPr>
            <w:tcW w:w="1134" w:type="dxa"/>
          </w:tcPr>
          <w:p w:rsidRPr="00675B30" w:rsidR="002229FB" w:rsidP="00675B30" w:rsidRDefault="002229FB" w14:paraId="62C13182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Pr="00675B30" w:rsidR="002229FB" w:rsidP="00675B30" w:rsidRDefault="002229FB" w14:paraId="28952AC2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Pr="00675B30" w:rsidR="002229FB" w:rsidP="00675B30" w:rsidRDefault="002229FB" w14:paraId="7D9628D8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Pr="00675B30" w:rsidR="002229FB" w:rsidP="00675B30" w:rsidRDefault="002229FB" w14:paraId="04A9D48B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2229FB" w:rsidTr="00675B30" w14:paraId="5CA5C598" w14:textId="77777777">
        <w:tc>
          <w:tcPr>
            <w:tcW w:w="4531" w:type="dxa"/>
          </w:tcPr>
          <w:p w:rsidRPr="002229FB" w:rsidR="002229FB" w:rsidP="002229FB" w:rsidRDefault="002229FB" w14:paraId="4B859CF6" w14:textId="31B0774B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Oportunidad en la presentación de los resultados de la auditoría interna.</w:t>
            </w:r>
          </w:p>
        </w:tc>
        <w:tc>
          <w:tcPr>
            <w:tcW w:w="1134" w:type="dxa"/>
          </w:tcPr>
          <w:p w:rsidRPr="00675B30" w:rsidR="002229FB" w:rsidP="00675B30" w:rsidRDefault="002229FB" w14:paraId="5FE3776F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Pr="00675B30" w:rsidR="002229FB" w:rsidP="00675B30" w:rsidRDefault="002229FB" w14:paraId="3469D702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Pr="00675B30" w:rsidR="002229FB" w:rsidP="00675B30" w:rsidRDefault="002229FB" w14:paraId="5B6A40F7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Pr="00675B30" w:rsidR="002229FB" w:rsidP="00675B30" w:rsidRDefault="002229FB" w14:paraId="164B2A63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2229FB" w:rsidTr="00675B30" w14:paraId="16040E19" w14:textId="77777777">
        <w:tc>
          <w:tcPr>
            <w:tcW w:w="4531" w:type="dxa"/>
          </w:tcPr>
          <w:p w:rsidR="002229FB" w:rsidP="002229FB" w:rsidRDefault="00C471E5" w14:paraId="37AB09D1" w14:textId="492A36E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Claridad en la presentación de los resultados de la auditoría interna</w:t>
            </w:r>
            <w:r w:rsidR="00510BEA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Pr="00675B30" w:rsidR="002229FB" w:rsidP="00675B30" w:rsidRDefault="002229FB" w14:paraId="37A47244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Pr="00675B30" w:rsidR="002229FB" w:rsidP="00675B30" w:rsidRDefault="002229FB" w14:paraId="3AC05E4A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Pr="00675B30" w:rsidR="002229FB" w:rsidP="00675B30" w:rsidRDefault="002229FB" w14:paraId="00EE1095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Pr="00675B30" w:rsidR="002229FB" w:rsidP="00675B30" w:rsidRDefault="002229FB" w14:paraId="47FED37C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Pr="00535C84" w:rsidR="002229FB" w:rsidTr="00675B30" w14:paraId="1FF222B0" w14:textId="77777777">
        <w:tc>
          <w:tcPr>
            <w:tcW w:w="4531" w:type="dxa"/>
          </w:tcPr>
          <w:p w:rsidR="002229FB" w:rsidP="002229FB" w:rsidRDefault="00510BEA" w14:paraId="449327C2" w14:textId="3120551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Comunicación en desarrollo de la auditoría interna. </w:t>
            </w:r>
          </w:p>
        </w:tc>
        <w:tc>
          <w:tcPr>
            <w:tcW w:w="1134" w:type="dxa"/>
          </w:tcPr>
          <w:p w:rsidRPr="00675B30" w:rsidR="002229FB" w:rsidP="00675B30" w:rsidRDefault="002229FB" w14:paraId="5C6904CF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Pr="00675B30" w:rsidR="002229FB" w:rsidP="00675B30" w:rsidRDefault="002229FB" w14:paraId="43EA500B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Pr="00675B30" w:rsidR="002229FB" w:rsidP="00675B30" w:rsidRDefault="002229FB" w14:paraId="0F0D7D7B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Pr="00675B30" w:rsidR="002229FB" w:rsidP="00675B30" w:rsidRDefault="002229FB" w14:paraId="1393961A" w14:textId="77777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675B30" w:rsidP="00864AB4" w:rsidRDefault="00675B30" w14:paraId="0842378C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535C84" w:rsidR="00675B30" w:rsidTr="00AA6367" w14:paraId="744EA5F9" w14:textId="77777777">
        <w:tc>
          <w:tcPr>
            <w:tcW w:w="8828" w:type="dxa"/>
          </w:tcPr>
          <w:p w:rsidRPr="00675B30" w:rsidR="00675B30" w:rsidP="00675B30" w:rsidRDefault="00675B30" w14:paraId="6AB31C39" w14:textId="3CE2D0E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75B30">
              <w:rPr>
                <w:rFonts w:ascii="Verdana" w:hAnsi="Verdana"/>
                <w:b/>
                <w:bCs/>
                <w:sz w:val="22"/>
                <w:szCs w:val="22"/>
              </w:rPr>
              <w:t>OBSERVACIONES / SUGERENCIAS / ASPECTOS A MEJORAR</w:t>
            </w:r>
          </w:p>
        </w:tc>
      </w:tr>
      <w:tr w:rsidRPr="00535C84" w:rsidR="00675B30" w:rsidTr="00AA6367" w14:paraId="5BF79D7A" w14:textId="77777777">
        <w:tc>
          <w:tcPr>
            <w:tcW w:w="8828" w:type="dxa"/>
          </w:tcPr>
          <w:p w:rsidR="00864AB4" w:rsidP="00675B30" w:rsidRDefault="00864AB4" w14:paraId="692EEBA9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864AB4" w:rsidP="00675B30" w:rsidRDefault="00864AB4" w14:paraId="3610B0C1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864AB4" w:rsidP="00675B30" w:rsidRDefault="00864AB4" w14:paraId="42E814D4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864AB4" w:rsidP="00675B30" w:rsidRDefault="00864AB4" w14:paraId="1185704C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00093C" w:rsidP="00675B30" w:rsidRDefault="0000093C" w14:paraId="5BA6C90D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Pr="00675B30" w:rsidR="0000093C" w:rsidP="00675B30" w:rsidRDefault="0000093C" w14:paraId="1972962B" w14:textId="77777777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E41A98" w:rsidRDefault="00E41A98" w14:paraId="275CFCBC" w14:textId="77777777"/>
    <w:sectPr w:rsidR="00E41A98" w:rsidSect="00E51E6F">
      <w:headerReference w:type="default" r:id="rId11"/>
      <w:foot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3E0" w:rsidP="00A60CBA" w:rsidRDefault="001E53E0" w14:paraId="01713E8D" w14:textId="77777777">
      <w:pPr>
        <w:spacing w:after="0" w:line="240" w:lineRule="auto"/>
      </w:pPr>
      <w:r>
        <w:separator/>
      </w:r>
    </w:p>
  </w:endnote>
  <w:endnote w:type="continuationSeparator" w:id="0">
    <w:p w:rsidR="001E53E0" w:rsidP="00A60CBA" w:rsidRDefault="001E53E0" w14:paraId="7C45A3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0CBA" w:rsidR="00A60CBA" w:rsidP="06F18106" w:rsidRDefault="00A60CBA" w14:paraId="3BB0D1B3" w14:textId="7A7AA14E">
    <w:pPr>
      <w:pStyle w:val="Piedepgina"/>
      <w:ind w:firstLine="0"/>
      <w:rPr>
        <w:lang w:val="es-ES"/>
      </w:rPr>
    </w:pPr>
    <w:r w:rsidR="06F18106">
      <w:rPr>
        <w:lang w:val="es-ES"/>
      </w:rPr>
      <w:t xml:space="preserve">Pág. </w:t>
    </w:r>
    <w:r w:rsidRPr="00A60CBA">
      <w:rPr>
        <w:lang w:val="es-ES"/>
      </w:rPr>
      <w:fldChar w:fldCharType="begin"/>
    </w:r>
    <w:r w:rsidRPr="00A60CBA">
      <w:rPr>
        <w:lang w:val="es-ES"/>
      </w:rPr>
      <w:instrText>PAGE   \* MERGEFORMAT</w:instrText>
    </w:r>
    <w:r w:rsidRPr="00A60CBA">
      <w:rPr>
        <w:lang w:val="es-ES"/>
      </w:rPr>
      <w:fldChar w:fldCharType="separate"/>
    </w:r>
    <w:r w:rsidRPr="00A60CBA" w:rsidR="06F18106">
      <w:rPr>
        <w:lang w:val="es-ES"/>
      </w:rPr>
      <w:t>1</w:t>
    </w:r>
    <w:r w:rsidRPr="00A60CBA">
      <w:rPr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3E0" w:rsidP="00A60CBA" w:rsidRDefault="001E53E0" w14:paraId="76A1BB7F" w14:textId="77777777">
      <w:pPr>
        <w:spacing w:after="0" w:line="240" w:lineRule="auto"/>
      </w:pPr>
      <w:r>
        <w:separator/>
      </w:r>
    </w:p>
  </w:footnote>
  <w:footnote w:type="continuationSeparator" w:id="0">
    <w:p w:rsidR="001E53E0" w:rsidP="00A60CBA" w:rsidRDefault="001E53E0" w14:paraId="468A86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73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60"/>
      <w:gridCol w:w="1204"/>
      <w:gridCol w:w="1205"/>
      <w:gridCol w:w="1205"/>
      <w:gridCol w:w="1205"/>
      <w:gridCol w:w="1205"/>
      <w:gridCol w:w="1489"/>
    </w:tblGrid>
    <w:tr w:rsidRPr="006F0F65" w:rsidR="004F62BD" w:rsidTr="06F18106" w14:paraId="50236209" w14:textId="77777777">
      <w:trPr>
        <w:trHeight w:val="300"/>
      </w:trPr>
      <w:tc>
        <w:tcPr>
          <w:tcW w:w="1560" w:type="dxa"/>
          <w:vMerge w:val="restart"/>
          <w:tcMar/>
          <w:vAlign w:val="center"/>
        </w:tcPr>
        <w:p w:rsidRPr="006F0F65" w:rsidR="004F62BD" w:rsidP="004F62BD" w:rsidRDefault="004F62BD" w14:paraId="0DE00B42" w14:textId="77777777">
          <w:pPr>
            <w:spacing w:after="0" w:line="240" w:lineRule="auto"/>
            <w:rPr>
              <w:rFonts w:ascii="Verdana" w:hAnsi="Verdana"/>
            </w:rPr>
          </w:pPr>
          <w:r w:rsidRPr="006F0F65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10055651" wp14:editId="37CD12CE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gridSpan w:val="6"/>
          <w:shd w:val="clear" w:color="auto" w:fill="BFBFBF" w:themeFill="background1" w:themeFillShade="BF"/>
          <w:tcMar/>
          <w:vAlign w:val="center"/>
        </w:tcPr>
        <w:p w:rsidRPr="006F0F65" w:rsidR="004F62BD" w:rsidP="004F62BD" w:rsidRDefault="004F62BD" w14:paraId="671C9F97" w14:textId="7308FDBF">
          <w:pPr>
            <w:spacing w:after="0" w:line="240" w:lineRule="auto"/>
            <w:jc w:val="center"/>
            <w:rPr>
              <w:rFonts w:ascii="Verdana" w:hAnsi="Verdana"/>
            </w:rPr>
          </w:pPr>
          <w:r w:rsidRPr="06F18106" w:rsidR="06F18106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06F18106" w:rsidR="06F18106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06F18106" w:rsidR="06F18106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Evaluación, Seguimiento y Mejora Institucional</w:t>
          </w:r>
        </w:p>
      </w:tc>
    </w:tr>
    <w:tr w:rsidRPr="006F0F65" w:rsidR="004F62BD" w:rsidTr="06F18106" w14:paraId="605A7291" w14:textId="77777777">
      <w:trPr>
        <w:trHeight w:val="537"/>
      </w:trPr>
      <w:tc>
        <w:tcPr>
          <w:tcW w:w="1560" w:type="dxa"/>
          <w:vMerge/>
          <w:tcMar/>
        </w:tcPr>
        <w:p w:rsidRPr="006F0F65" w:rsidR="004F62BD" w:rsidP="004F62BD" w:rsidRDefault="004F62BD" w14:paraId="7874C89C" w14:textId="77777777">
          <w:pPr>
            <w:spacing w:after="0" w:line="240" w:lineRule="auto"/>
            <w:rPr>
              <w:rFonts w:ascii="Verdana" w:hAnsi="Verdana"/>
            </w:rPr>
          </w:pPr>
        </w:p>
      </w:tc>
      <w:tc>
        <w:tcPr>
          <w:tcW w:w="7513" w:type="dxa"/>
          <w:gridSpan w:val="6"/>
          <w:shd w:val="clear" w:color="auto" w:fill="FFFFFF" w:themeFill="background1"/>
          <w:tcMar/>
          <w:vAlign w:val="center"/>
        </w:tcPr>
        <w:p w:rsidRPr="006F0F65" w:rsidR="004F62BD" w:rsidP="004F62BD" w:rsidRDefault="004F62BD" w14:paraId="3341049B" w14:textId="262BDE79">
          <w:pPr>
            <w:spacing w:after="0" w:line="240" w:lineRule="auto"/>
            <w:jc w:val="center"/>
            <w:rPr>
              <w:rFonts w:ascii="Verdana" w:hAnsi="Verdana"/>
              <w:b/>
              <w:bCs/>
              <w:color w:val="000000" w:themeColor="text1"/>
            </w:rPr>
          </w:pPr>
          <w:r w:rsidRPr="00005A70">
            <w:rPr>
              <w:rFonts w:ascii="Verdana" w:hAnsi="Verdana"/>
              <w:b/>
              <w:bCs/>
              <w:sz w:val="22"/>
              <w:szCs w:val="22"/>
              <w:lang w:val="es-ES"/>
            </w:rPr>
            <w:t>Evaluación Auditoría Interna</w:t>
          </w:r>
        </w:p>
      </w:tc>
    </w:tr>
    <w:tr w:rsidRPr="006F0F65" w:rsidR="004F62BD" w:rsidTr="06F18106" w14:paraId="708DEE8C" w14:textId="77777777">
      <w:trPr>
        <w:trHeight w:val="300"/>
      </w:trPr>
      <w:tc>
        <w:tcPr>
          <w:tcW w:w="1560" w:type="dxa"/>
          <w:vMerge/>
          <w:tcMar/>
        </w:tcPr>
        <w:p w:rsidRPr="006F0F65" w:rsidR="004F62BD" w:rsidP="004F62BD" w:rsidRDefault="004F62BD" w14:paraId="08EA10BA" w14:textId="77777777">
          <w:pPr>
            <w:spacing w:after="0" w:line="240" w:lineRule="auto"/>
            <w:rPr>
              <w:rFonts w:ascii="Verdana" w:hAnsi="Verdana"/>
            </w:rPr>
          </w:pPr>
        </w:p>
      </w:tc>
      <w:tc>
        <w:tcPr>
          <w:tcW w:w="1204" w:type="dxa"/>
          <w:shd w:val="clear" w:color="auto" w:fill="BFBFBF" w:themeFill="background1" w:themeFillShade="BF"/>
          <w:tcMar/>
          <w:vAlign w:val="center"/>
        </w:tcPr>
        <w:p w:rsidRPr="006F0F65" w:rsidR="004F62BD" w:rsidP="004F62BD" w:rsidRDefault="004F62BD" w14:paraId="16906034" w14:textId="77777777">
          <w:pPr>
            <w:spacing w:after="0" w:line="240" w:lineRule="auto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05" w:type="dxa"/>
          <w:shd w:val="clear" w:color="auto" w:fill="FFFFFF" w:themeFill="background1"/>
          <w:tcMar/>
          <w:vAlign w:val="center"/>
        </w:tcPr>
        <w:p w:rsidRPr="006F0F65" w:rsidR="004F62BD" w:rsidP="004F62BD" w:rsidRDefault="004F62BD" w14:paraId="3BC759F2" w14:textId="2B8C8D34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ES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FM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-0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 xml:space="preserve"> </w:t>
          </w:r>
        </w:p>
      </w:tc>
      <w:tc>
        <w:tcPr>
          <w:tcW w:w="1205" w:type="dxa"/>
          <w:shd w:val="clear" w:color="auto" w:fill="BFBFBF" w:themeFill="background1" w:themeFillShade="BF"/>
          <w:tcMar/>
          <w:vAlign w:val="center"/>
        </w:tcPr>
        <w:p w:rsidRPr="006F0F65" w:rsidR="004F62BD" w:rsidP="004F62BD" w:rsidRDefault="004F62BD" w14:paraId="69D27573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05" w:type="dxa"/>
          <w:shd w:val="clear" w:color="auto" w:fill="FFFFFF" w:themeFill="background1"/>
          <w:tcMar/>
          <w:vAlign w:val="center"/>
        </w:tcPr>
        <w:p w:rsidRPr="006F0F65" w:rsidR="004F62BD" w:rsidP="004F62BD" w:rsidRDefault="004F62BD" w14:paraId="49F0A321" w14:textId="77777777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205" w:type="dxa"/>
          <w:shd w:val="clear" w:color="auto" w:fill="BFBFBF" w:themeFill="background1" w:themeFillShade="BF"/>
          <w:tcMar/>
          <w:vAlign w:val="center"/>
        </w:tcPr>
        <w:p w:rsidRPr="006F0F65" w:rsidR="004F62BD" w:rsidP="004F62BD" w:rsidRDefault="004F62BD" w14:paraId="2FAF0779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89" w:type="dxa"/>
          <w:shd w:val="clear" w:color="auto" w:fill="FFFFFF" w:themeFill="background1"/>
          <w:tcMar/>
          <w:vAlign w:val="center"/>
        </w:tcPr>
        <w:p w:rsidRPr="006F0F65" w:rsidR="004F62BD" w:rsidP="004F62BD" w:rsidRDefault="004F62BD" w14:paraId="68BE88AB" w14:textId="433E8378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06F18106" w:rsidR="06F1810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4F62BD" w:rsidRDefault="004F62BD" w14:paraId="3CC9341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3F29"/>
    <w:multiLevelType w:val="hybridMultilevel"/>
    <w:tmpl w:val="A0CAEC44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59086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98"/>
    <w:rsid w:val="0000093C"/>
    <w:rsid w:val="00005A70"/>
    <w:rsid w:val="000B5B0A"/>
    <w:rsid w:val="001B7247"/>
    <w:rsid w:val="001E53E0"/>
    <w:rsid w:val="002229FB"/>
    <w:rsid w:val="002469D5"/>
    <w:rsid w:val="002E0171"/>
    <w:rsid w:val="003034C6"/>
    <w:rsid w:val="0031541E"/>
    <w:rsid w:val="003A29D1"/>
    <w:rsid w:val="003E56B4"/>
    <w:rsid w:val="003F49B1"/>
    <w:rsid w:val="0042761D"/>
    <w:rsid w:val="004340BD"/>
    <w:rsid w:val="004F62BD"/>
    <w:rsid w:val="00510BEA"/>
    <w:rsid w:val="00535C84"/>
    <w:rsid w:val="00543D2E"/>
    <w:rsid w:val="00545ECB"/>
    <w:rsid w:val="00555B5F"/>
    <w:rsid w:val="00570EDD"/>
    <w:rsid w:val="005A4980"/>
    <w:rsid w:val="005D0E8F"/>
    <w:rsid w:val="00630BB1"/>
    <w:rsid w:val="00675B30"/>
    <w:rsid w:val="00692405"/>
    <w:rsid w:val="00694254"/>
    <w:rsid w:val="006C40E7"/>
    <w:rsid w:val="00791E5E"/>
    <w:rsid w:val="007A2D48"/>
    <w:rsid w:val="008071CF"/>
    <w:rsid w:val="008256F8"/>
    <w:rsid w:val="008365F6"/>
    <w:rsid w:val="0085162E"/>
    <w:rsid w:val="00864AB4"/>
    <w:rsid w:val="008B2053"/>
    <w:rsid w:val="008E6C25"/>
    <w:rsid w:val="009574DE"/>
    <w:rsid w:val="009B1146"/>
    <w:rsid w:val="00A60CBA"/>
    <w:rsid w:val="00AC3AD9"/>
    <w:rsid w:val="00AE2051"/>
    <w:rsid w:val="00B12EB2"/>
    <w:rsid w:val="00B728A9"/>
    <w:rsid w:val="00B9722D"/>
    <w:rsid w:val="00B973A2"/>
    <w:rsid w:val="00BB5C69"/>
    <w:rsid w:val="00BE01C1"/>
    <w:rsid w:val="00BF1C06"/>
    <w:rsid w:val="00C03F74"/>
    <w:rsid w:val="00C074C2"/>
    <w:rsid w:val="00C16106"/>
    <w:rsid w:val="00C43F28"/>
    <w:rsid w:val="00C471E5"/>
    <w:rsid w:val="00C56DDE"/>
    <w:rsid w:val="00C65329"/>
    <w:rsid w:val="00C977AA"/>
    <w:rsid w:val="00CA4C16"/>
    <w:rsid w:val="00DA2434"/>
    <w:rsid w:val="00E412FC"/>
    <w:rsid w:val="00E41A98"/>
    <w:rsid w:val="00E51E6F"/>
    <w:rsid w:val="00EC41D7"/>
    <w:rsid w:val="00EE05DC"/>
    <w:rsid w:val="00F703DB"/>
    <w:rsid w:val="00F84257"/>
    <w:rsid w:val="00FB084D"/>
    <w:rsid w:val="06F18106"/>
    <w:rsid w:val="25CB5F88"/>
    <w:rsid w:val="2E5E71D9"/>
    <w:rsid w:val="2F46D564"/>
    <w:rsid w:val="7139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6090"/>
  <w15:chartTrackingRefBased/>
  <w15:docId w15:val="{ACFE5AE4-0C67-4963-9CB4-594CE62B3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A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A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41A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41A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41A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41A98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41A98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41A9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41A9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41A9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41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A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41A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4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A98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41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A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41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A9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41A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0E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0ED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70E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ED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70ED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60C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60CBA"/>
  </w:style>
  <w:style w:type="paragraph" w:styleId="Piedepgina">
    <w:name w:val="footer"/>
    <w:basedOn w:val="Normal"/>
    <w:link w:val="PiedepginaCar"/>
    <w:uiPriority w:val="99"/>
    <w:unhideWhenUsed/>
    <w:rsid w:val="00A60C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6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7417D-BFF9-4E92-80AF-D167A5BCE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3F102-A052-4BD3-933C-D5327030EAE3}">
  <ds:schemaRefs>
    <ds:schemaRef ds:uri="http://schemas.microsoft.com/office/2006/metadata/properties"/>
    <ds:schemaRef ds:uri="http://schemas.microsoft.com/office/infopath/2007/PartnerControls"/>
    <ds:schemaRef ds:uri="c8693679-3419-493c-9ef6-138def13a4cb"/>
    <ds:schemaRef ds:uri="b304aaa2-646e-49ae-a06a-21ee50e72e35"/>
  </ds:schemaRefs>
</ds:datastoreItem>
</file>

<file path=customXml/itemProps3.xml><?xml version="1.0" encoding="utf-8"?>
<ds:datastoreItem xmlns:ds="http://schemas.openxmlformats.org/officeDocument/2006/customXml" ds:itemID="{C48F5292-FD19-4CF3-873C-33C3E4B32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660C4-1E6B-47D0-BFE1-4B50A529E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Shirley Harry Osorio - Cont</dc:creator>
  <keywords/>
  <dc:description/>
  <lastModifiedBy>Orietta Sofia Cotes Diaz - Pasante</lastModifiedBy>
  <revision>17</revision>
  <dcterms:created xsi:type="dcterms:W3CDTF">2025-12-29T17:36:00.0000000Z</dcterms:created>
  <dcterms:modified xsi:type="dcterms:W3CDTF">2026-05-26T17:06:45.9660001Z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