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tbl>
      <w:tblPr>
        <w:tblW w:w="5000" w:type="pct"/>
        <w:tblCellSpacing w:w="0" w:type="dxa"/>
        <w:tblCellMar>
          <w:left w:w="0" w:type="dxa"/>
          <w:right w:w="0" w:type="dxa"/>
        </w:tblCellMar>
        <w:tblLook w:val="04A0" w:firstRow="1" w:lastRow="0" w:firstColumn="1" w:lastColumn="0" w:noHBand="0" w:noVBand="1"/>
      </w:tblPr>
      <w:tblGrid>
        <w:gridCol w:w="75"/>
        <w:gridCol w:w="10725"/>
      </w:tblGrid>
      <w:tr w:rsidR="005F66D0" w:rsidRPr="005F66D0" w14:paraId="5C40F0CA" w14:textId="77777777" w:rsidTr="005F66D0">
        <w:trPr>
          <w:tblCellSpacing w:w="0" w:type="dxa"/>
        </w:trPr>
        <w:tc>
          <w:tcPr>
            <w:tcW w:w="75" w:type="dxa"/>
            <w:hideMark/>
          </w:tcPr>
          <w:p w14:paraId="5F06BAFC" w14:textId="04CD398C" w:rsidR="005F66D0" w:rsidRPr="005F66D0" w:rsidRDefault="005F66D0" w:rsidP="005F66D0">
            <w:pPr>
              <w:spacing w:after="0" w:line="240" w:lineRule="auto"/>
              <w:rPr>
                <w:rFonts w:ascii="Arial" w:eastAsia="Times New Roman" w:hAnsi="Arial" w:cs="Arial"/>
                <w:sz w:val="20"/>
                <w:szCs w:val="20"/>
                <w:lang w:eastAsia="es-CO"/>
              </w:rPr>
            </w:pPr>
            <w:bookmarkStart w:id="3" w:name="_Toc126147375"/>
            <w:bookmarkStart w:id="4" w:name="_Toc126301041"/>
            <w:bookmarkStart w:id="5" w:name="_Toc181004293"/>
            <w:r w:rsidRPr="005F66D0">
              <w:rPr>
                <w:rFonts w:ascii="Arial" w:eastAsia="Times New Roman" w:hAnsi="Arial" w:cs="Arial"/>
                <w:noProof/>
                <w:sz w:val="20"/>
                <w:szCs w:val="20"/>
                <w:lang w:eastAsia="es-CO"/>
              </w:rPr>
              <w:drawing>
                <wp:inline distT="0" distB="0" distL="0" distR="0" wp14:anchorId="027F0C47" wp14:editId="6DC39F90">
                  <wp:extent cx="6985" cy="6985"/>
                  <wp:effectExtent l="0" t="0" r="0" b="0"/>
                  <wp:docPr id="1" name="Imagen 1"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stioncalidad.mincit.gov.co/IsolucionCalidad/g/vacio1x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hideMark/>
          </w:tcPr>
          <w:p w14:paraId="2040426C" w14:textId="77777777" w:rsidR="005F66D0" w:rsidRPr="005F66D0" w:rsidRDefault="005F66D0" w:rsidP="005F66D0">
            <w:pPr>
              <w:spacing w:after="0" w:line="240" w:lineRule="auto"/>
              <w:rPr>
                <w:rFonts w:ascii="Arial" w:eastAsia="Times New Roman" w:hAnsi="Arial" w:cs="Arial"/>
                <w:sz w:val="20"/>
                <w:szCs w:val="20"/>
                <w:lang w:eastAsia="es-CO"/>
              </w:rPr>
            </w:pPr>
            <w:r w:rsidRPr="005F66D0">
              <w:rPr>
                <w:rFonts w:ascii="Verdana" w:eastAsia="Times New Roman" w:hAnsi="Verdana" w:cs="Arial"/>
                <w:sz w:val="20"/>
                <w:szCs w:val="20"/>
                <w:lang w:eastAsia="es-CO"/>
              </w:rPr>
              <w:br/>
              <w:t>Establecer el procedimiento para calcular el ahorro en términos monetarios que representa para los usuarios la intervención de barreras y mejora normativa de la estrategia Estado Simple Colombia Ágil y la publicación de las cifras totales de ahorro en la simplificación, racionalización y/o supresión de trámites, barreras y normas </w:t>
            </w:r>
          </w:p>
        </w:tc>
      </w:tr>
    </w:tbl>
    <w:p w14:paraId="5AE3BD65" w14:textId="77777777" w:rsidR="002F176B" w:rsidRPr="005F66D0" w:rsidRDefault="002F176B" w:rsidP="003033FD">
      <w:pPr>
        <w:spacing w:after="0" w:line="240" w:lineRule="auto"/>
        <w:jc w:val="both"/>
        <w:rPr>
          <w:rFonts w:ascii="Verdana" w:hAnsi="Verdana" w:cs="Arial"/>
          <w:sz w:val="20"/>
          <w:szCs w:val="20"/>
        </w:rPr>
      </w:pPr>
    </w:p>
    <w:p w14:paraId="412D6946" w14:textId="77777777" w:rsidR="00EA0826" w:rsidRPr="005F66D0" w:rsidRDefault="00EA0826" w:rsidP="003033FD">
      <w:pPr>
        <w:numPr>
          <w:ilvl w:val="0"/>
          <w:numId w:val="11"/>
        </w:numPr>
        <w:spacing w:after="0" w:line="240" w:lineRule="auto"/>
        <w:ind w:left="0" w:firstLine="0"/>
        <w:jc w:val="both"/>
        <w:rPr>
          <w:rFonts w:ascii="Verdana" w:hAnsi="Verdana" w:cs="Arial"/>
          <w:b/>
          <w:sz w:val="20"/>
          <w:szCs w:val="20"/>
        </w:rPr>
      </w:pPr>
      <w:r w:rsidRPr="005F66D0">
        <w:rPr>
          <w:rFonts w:ascii="Verdana" w:hAnsi="Verdana" w:cs="Arial"/>
          <w:b/>
          <w:sz w:val="20"/>
          <w:szCs w:val="20"/>
        </w:rPr>
        <w:t>ALCANCE</w:t>
      </w:r>
      <w:bookmarkEnd w:id="3"/>
      <w:bookmarkEnd w:id="4"/>
      <w:bookmarkEnd w:id="5"/>
    </w:p>
    <w:p w14:paraId="062C6BF0" w14:textId="77777777" w:rsidR="00EA0826" w:rsidRPr="005F66D0" w:rsidRDefault="00EA0826" w:rsidP="003033FD">
      <w:pPr>
        <w:spacing w:after="0" w:line="240" w:lineRule="auto"/>
        <w:jc w:val="both"/>
        <w:rPr>
          <w:rFonts w:ascii="Verdana" w:hAnsi="Verdana" w:cs="Arial"/>
          <w:b/>
          <w:sz w:val="20"/>
          <w:szCs w:val="20"/>
        </w:rPr>
      </w:pPr>
    </w:p>
    <w:p w14:paraId="2B42DE8E" w14:textId="44D7633F" w:rsidR="001C6CBA" w:rsidRPr="005F66D0" w:rsidRDefault="005F66D0" w:rsidP="003033FD">
      <w:pPr>
        <w:spacing w:after="0" w:line="240" w:lineRule="auto"/>
        <w:jc w:val="both"/>
        <w:rPr>
          <w:rFonts w:ascii="Verdana" w:hAnsi="Verdana"/>
          <w:color w:val="000000"/>
          <w:sz w:val="20"/>
          <w:szCs w:val="20"/>
        </w:rPr>
      </w:pPr>
      <w:r w:rsidRPr="005F66D0">
        <w:rPr>
          <w:rFonts w:ascii="Verdana" w:hAnsi="Verdana"/>
          <w:color w:val="000000"/>
          <w:sz w:val="20"/>
          <w:szCs w:val="20"/>
        </w:rPr>
        <w:t>Inicia con la identificación de las intervenciones que impacten el cálculo del ahorro en términos monetarios que representa para los usuarios la intervención de trámites, barreras y mejora normativa y finaliza con la publicación de cifras de ahorro.</w:t>
      </w:r>
    </w:p>
    <w:p w14:paraId="1607439A" w14:textId="77777777" w:rsidR="005F66D0" w:rsidRPr="00666AB9" w:rsidRDefault="005F66D0"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5F66D0" w:rsidRDefault="003033FD" w:rsidP="003033FD">
      <w:pPr>
        <w:spacing w:after="0" w:line="240" w:lineRule="auto"/>
        <w:jc w:val="both"/>
        <w:rPr>
          <w:rFonts w:ascii="Verdana" w:hAnsi="Verdana" w:cs="Arial"/>
          <w:b/>
          <w:sz w:val="20"/>
          <w:szCs w:val="20"/>
        </w:rPr>
      </w:pPr>
    </w:p>
    <w:p w14:paraId="09E26201" w14:textId="278127A6"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t xml:space="preserve">AUTOMATIZACIÓN: </w:t>
      </w:r>
      <w:r w:rsidRPr="005F66D0">
        <w:rPr>
          <w:rFonts w:ascii="Verdana" w:hAnsi="Verdana" w:cs="Arial"/>
          <w:color w:val="333333"/>
          <w:sz w:val="20"/>
          <w:szCs w:val="20"/>
        </w:rPr>
        <w:t>Son procesos que se vuelven automáticos, es decir que se manejan a través de sistemas que generan respuesta inmediata. De esta manera, se ahorra tiempo y funcionan sin necesidad de un control permanente por parte del personal.</w:t>
      </w:r>
    </w:p>
    <w:p w14:paraId="4CD6781C" w14:textId="77777777" w:rsidR="005F66D0" w:rsidRPr="005F66D0" w:rsidRDefault="005F66D0" w:rsidP="005F66D0">
      <w:pPr>
        <w:spacing w:after="0" w:line="240" w:lineRule="auto"/>
        <w:rPr>
          <w:rFonts w:ascii="Verdana" w:hAnsi="Verdana" w:cs="Arial"/>
          <w:sz w:val="20"/>
          <w:szCs w:val="20"/>
        </w:rPr>
      </w:pPr>
    </w:p>
    <w:p w14:paraId="5ACAA968" w14:textId="32DD46AD"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t xml:space="preserve">BARRERA: </w:t>
      </w:r>
      <w:r w:rsidRPr="005F66D0">
        <w:rPr>
          <w:rFonts w:ascii="Verdana" w:hAnsi="Verdana" w:cs="Arial"/>
          <w:color w:val="333333"/>
          <w:sz w:val="20"/>
          <w:szCs w:val="20"/>
        </w:rPr>
        <w:t xml:space="preserve">Es un procedimiento requerido por entidades públicas, que regulan o controlan una actividad habitual o </w:t>
      </w:r>
      <w:proofErr w:type="gramStart"/>
      <w:r w:rsidRPr="005F66D0">
        <w:rPr>
          <w:rFonts w:ascii="Verdana" w:hAnsi="Verdana" w:cs="Arial"/>
          <w:color w:val="333333"/>
          <w:sz w:val="20"/>
          <w:szCs w:val="20"/>
        </w:rPr>
        <w:t>especifica</w:t>
      </w:r>
      <w:proofErr w:type="gramEnd"/>
      <w:r w:rsidRPr="005F66D0">
        <w:rPr>
          <w:rFonts w:ascii="Verdana" w:hAnsi="Verdana" w:cs="Arial"/>
          <w:color w:val="333333"/>
          <w:sz w:val="20"/>
          <w:szCs w:val="20"/>
        </w:rPr>
        <w:t xml:space="preserve"> del ciudadano o empresario. No cumplen todos los criterios de los trámites, y por eso no deben registrarse en el SUIT.</w:t>
      </w:r>
    </w:p>
    <w:p w14:paraId="2BD1CF74" w14:textId="77777777" w:rsidR="005F66D0" w:rsidRPr="005F66D0" w:rsidRDefault="005F66D0" w:rsidP="005F66D0">
      <w:pPr>
        <w:spacing w:after="0" w:line="240" w:lineRule="auto"/>
        <w:rPr>
          <w:rFonts w:ascii="Verdana" w:hAnsi="Verdana" w:cs="Arial"/>
          <w:sz w:val="20"/>
          <w:szCs w:val="20"/>
        </w:rPr>
      </w:pPr>
    </w:p>
    <w:p w14:paraId="2B10525C" w14:textId="39D877B5"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t xml:space="preserve">ESCA: </w:t>
      </w:r>
      <w:r w:rsidRPr="005F66D0">
        <w:rPr>
          <w:rFonts w:ascii="Verdana" w:hAnsi="Verdana" w:cs="Arial"/>
          <w:color w:val="333333"/>
          <w:sz w:val="20"/>
          <w:szCs w:val="20"/>
        </w:rPr>
        <w:t>Estado Simple Colombia Ágil - Estrategia de simplificación, racionalización y/o supresión de trámites, barreras y normas, que tiene como finalidad que las relaciones del ciudadano con las instituciones del Gobierno sean más ágiles y sencillas. A través de este instrumento, también se busca fomentar el emprendimiento y la consolidación empresarial, mediante la optimización de los servicios prestados por las entidades públicas</w:t>
      </w:r>
    </w:p>
    <w:p w14:paraId="2C345642" w14:textId="77777777" w:rsidR="005F66D0" w:rsidRPr="005F66D0" w:rsidRDefault="005F66D0" w:rsidP="005F66D0">
      <w:pPr>
        <w:spacing w:after="0" w:line="240" w:lineRule="auto"/>
        <w:rPr>
          <w:rFonts w:ascii="Verdana" w:hAnsi="Verdana" w:cs="Arial"/>
          <w:sz w:val="20"/>
          <w:szCs w:val="20"/>
        </w:rPr>
      </w:pPr>
    </w:p>
    <w:p w14:paraId="6EDDFCB6" w14:textId="5098A541"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t xml:space="preserve">TRÁMITE: </w:t>
      </w:r>
      <w:r w:rsidRPr="005F66D0">
        <w:rPr>
          <w:rFonts w:ascii="Verdana" w:hAnsi="Verdana" w:cs="Arial"/>
          <w:color w:val="333333"/>
          <w:sz w:val="20"/>
          <w:szCs w:val="20"/>
        </w:rPr>
        <w:t>Conjunto de requisitos, pasos, o acciones reguladas por el Estado, dentro de un proceso misional, que deben efectuar los ciudadanos usuarios o grupos de interés ante una entidad u organismo de la administración pública o en particular que ejerce funciones administrativas, para acceder a un derecho, ejercer una actividad o cumplir con una obligación, prevista o autorizada por la Ley.</w:t>
      </w:r>
    </w:p>
    <w:p w14:paraId="5534D10B" w14:textId="77777777" w:rsidR="005F66D0" w:rsidRPr="005F66D0" w:rsidRDefault="005F66D0" w:rsidP="005F66D0">
      <w:pPr>
        <w:spacing w:after="0" w:line="240" w:lineRule="auto"/>
        <w:rPr>
          <w:rFonts w:ascii="Verdana" w:hAnsi="Verdana" w:cs="Arial"/>
          <w:sz w:val="20"/>
          <w:szCs w:val="20"/>
        </w:rPr>
      </w:pPr>
    </w:p>
    <w:p w14:paraId="664487CF" w14:textId="68A8C797"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t xml:space="preserve">IDENTIFICACIÓN DE INTERVENCIONES: </w:t>
      </w:r>
      <w:r w:rsidRPr="005F66D0">
        <w:rPr>
          <w:rFonts w:ascii="Verdana" w:hAnsi="Verdana" w:cs="Arial"/>
          <w:color w:val="333333"/>
          <w:sz w:val="20"/>
          <w:szCs w:val="20"/>
        </w:rPr>
        <w:t>Corresponde a la búsqueda de intervenciones que tengan impacto en la racionalización de barreras y normas obsoletas, a través del Diario Oficial, redes sociales, páginas oficiales de las entidades, noticias, entre otras.</w:t>
      </w:r>
    </w:p>
    <w:p w14:paraId="6E1AF0DB" w14:textId="77777777" w:rsidR="005F66D0" w:rsidRPr="005F66D0" w:rsidRDefault="005F66D0" w:rsidP="005F66D0">
      <w:pPr>
        <w:spacing w:after="0" w:line="240" w:lineRule="auto"/>
        <w:rPr>
          <w:rFonts w:ascii="Verdana" w:hAnsi="Verdana" w:cs="Arial"/>
          <w:sz w:val="20"/>
          <w:szCs w:val="20"/>
        </w:rPr>
      </w:pPr>
    </w:p>
    <w:p w14:paraId="1A96E78A" w14:textId="55016F50"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t xml:space="preserve">INTERVENCIÓN ADMINISTRATIVA: </w:t>
      </w:r>
      <w:r w:rsidRPr="005F66D0">
        <w:rPr>
          <w:rFonts w:ascii="Verdana" w:hAnsi="Verdana" w:cs="Arial"/>
          <w:color w:val="333333"/>
          <w:sz w:val="20"/>
          <w:szCs w:val="20"/>
        </w:rPr>
        <w:t>Son aquellas en las cuales, para simplificar o eliminar una norma, barrera o trámite, la entidad puede hacerlo directamente, porque dentro de sus funciones está facultada para hacerlo.</w:t>
      </w:r>
    </w:p>
    <w:p w14:paraId="2A3D54DA" w14:textId="77777777" w:rsidR="005F66D0" w:rsidRPr="005F66D0" w:rsidRDefault="005F66D0" w:rsidP="005F66D0">
      <w:pPr>
        <w:spacing w:after="0" w:line="240" w:lineRule="auto"/>
        <w:rPr>
          <w:rFonts w:ascii="Verdana" w:hAnsi="Verdana" w:cs="Arial"/>
          <w:sz w:val="20"/>
          <w:szCs w:val="20"/>
        </w:rPr>
      </w:pPr>
    </w:p>
    <w:p w14:paraId="0DED001F" w14:textId="38FA8A37"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t xml:space="preserve">INTERVENCIÓN NORMATIVA: </w:t>
      </w:r>
      <w:r w:rsidRPr="005F66D0">
        <w:rPr>
          <w:rFonts w:ascii="Verdana" w:hAnsi="Verdana" w:cs="Arial"/>
          <w:color w:val="333333"/>
          <w:sz w:val="20"/>
          <w:szCs w:val="20"/>
        </w:rPr>
        <w:t>Son aquellas en las cuales, para simplificar o eliminar un trámite, barrera o norma, es necesario expedir otra norma. El Ejecutivo puede expedir decretos y resoluciones. Las leyes, acuerdos y ordenanzas son potestad del Congreso, los concejos municipales y las asambleas.</w:t>
      </w:r>
    </w:p>
    <w:p w14:paraId="582A5F54" w14:textId="77777777" w:rsidR="005F66D0" w:rsidRPr="005F66D0" w:rsidRDefault="005F66D0" w:rsidP="005F66D0">
      <w:pPr>
        <w:spacing w:after="0" w:line="240" w:lineRule="auto"/>
        <w:rPr>
          <w:rFonts w:ascii="Verdana" w:hAnsi="Verdana" w:cs="Arial"/>
          <w:sz w:val="20"/>
          <w:szCs w:val="20"/>
        </w:rPr>
      </w:pPr>
    </w:p>
    <w:p w14:paraId="6C9810F3" w14:textId="7EC4589C"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t xml:space="preserve">INTERVENCIÓN POR ELIMINACIÓN: </w:t>
      </w:r>
      <w:r w:rsidRPr="005F66D0">
        <w:rPr>
          <w:rFonts w:ascii="Verdana" w:hAnsi="Verdana" w:cs="Arial"/>
          <w:color w:val="333333"/>
          <w:sz w:val="20"/>
          <w:szCs w:val="20"/>
        </w:rPr>
        <w:t>Se considera que esta intervención no es necesaria dado que otros procesos de la organización la suprimen</w:t>
      </w:r>
    </w:p>
    <w:p w14:paraId="20CF28A6" w14:textId="77777777" w:rsidR="005F66D0" w:rsidRPr="005F66D0" w:rsidRDefault="005F66D0" w:rsidP="005F66D0">
      <w:pPr>
        <w:spacing w:after="0" w:line="240" w:lineRule="auto"/>
        <w:rPr>
          <w:rFonts w:ascii="Verdana" w:hAnsi="Verdana" w:cs="Arial"/>
          <w:sz w:val="20"/>
          <w:szCs w:val="20"/>
        </w:rPr>
      </w:pPr>
    </w:p>
    <w:p w14:paraId="46573136" w14:textId="288CF5A6"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lastRenderedPageBreak/>
        <w:t xml:space="preserve">INTERVENCIÓN TECNOLÓGICA: </w:t>
      </w:r>
      <w:r w:rsidRPr="005F66D0">
        <w:rPr>
          <w:rFonts w:ascii="Verdana" w:hAnsi="Verdana" w:cs="Arial"/>
          <w:color w:val="333333"/>
          <w:sz w:val="20"/>
          <w:szCs w:val="20"/>
        </w:rPr>
        <w:t>Son aquellas que permiten la virtualización o automatización de un trámite o barrera, para ahorrar tiempo y costos a los usuarios. Algunas veces requiere de intervenciones normativas o administrativas previas o simultáneas.</w:t>
      </w:r>
    </w:p>
    <w:p w14:paraId="1A07B458" w14:textId="77777777" w:rsidR="005F66D0" w:rsidRPr="005F66D0" w:rsidRDefault="005F66D0" w:rsidP="005F66D0">
      <w:pPr>
        <w:spacing w:after="0" w:line="240" w:lineRule="auto"/>
        <w:rPr>
          <w:rFonts w:ascii="Verdana" w:hAnsi="Verdana" w:cs="Arial"/>
          <w:sz w:val="20"/>
          <w:szCs w:val="20"/>
        </w:rPr>
      </w:pPr>
    </w:p>
    <w:p w14:paraId="349E51A3" w14:textId="067C5101"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t xml:space="preserve">NORMA OBSOLETA: </w:t>
      </w:r>
      <w:r w:rsidRPr="005F66D0">
        <w:rPr>
          <w:rFonts w:ascii="Verdana" w:hAnsi="Verdana" w:cs="Arial"/>
          <w:color w:val="333333"/>
          <w:sz w:val="20"/>
          <w:szCs w:val="20"/>
        </w:rPr>
        <w:t>Se trata de aquella ley, ordenanza, acuerdo, decreto, resolución, circular o concepto, cuya aplicación es totalmente imposible a la luz de la realidad social, económica, cultural, política o tecnológica del país. Las normas se vuelven obsoletas por: cambios en el régimen constitucional o legal, porque se expide una nueva norma que la reemplaza, porque el objeto para el que fue creada ya se cumplió o ya no existe o porque tenía una vigencia temporal que ya terminó.</w:t>
      </w:r>
    </w:p>
    <w:p w14:paraId="38AEA080" w14:textId="77777777" w:rsidR="005F66D0" w:rsidRPr="005F66D0" w:rsidRDefault="005F66D0" w:rsidP="005F66D0">
      <w:pPr>
        <w:spacing w:after="0" w:line="240" w:lineRule="auto"/>
        <w:rPr>
          <w:rFonts w:ascii="Verdana" w:hAnsi="Verdana" w:cs="Arial"/>
          <w:sz w:val="20"/>
          <w:szCs w:val="20"/>
        </w:rPr>
      </w:pPr>
    </w:p>
    <w:p w14:paraId="1E501084" w14:textId="267A3536"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t xml:space="preserve">NORMA OBSOLETA POR DUPLICIDAD NORMATIVA: </w:t>
      </w:r>
      <w:r w:rsidRPr="005F66D0">
        <w:rPr>
          <w:rFonts w:ascii="Verdana" w:hAnsi="Verdana" w:cs="Arial"/>
          <w:color w:val="333333"/>
          <w:sz w:val="20"/>
          <w:szCs w:val="20"/>
        </w:rPr>
        <w:t>Hace alusión a la existencia de dos o más disposiciones normativas que cumplen funciones iguales o similares, por cuanto una de ella se puede considerar como no aplicable o redundante.</w:t>
      </w:r>
    </w:p>
    <w:p w14:paraId="00964C68" w14:textId="77777777" w:rsidR="005F66D0" w:rsidRPr="005F66D0" w:rsidRDefault="005F66D0" w:rsidP="005F66D0">
      <w:pPr>
        <w:spacing w:after="0" w:line="240" w:lineRule="auto"/>
        <w:rPr>
          <w:rFonts w:ascii="Verdana" w:hAnsi="Verdana" w:cs="Arial"/>
          <w:sz w:val="20"/>
          <w:szCs w:val="20"/>
        </w:rPr>
      </w:pPr>
    </w:p>
    <w:p w14:paraId="20FDEAF4" w14:textId="08C01601"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t>NORMA OBSOLETA POR DUPLICIDAD TRANSITORIA:</w:t>
      </w:r>
      <w:r w:rsidRPr="005F66D0">
        <w:rPr>
          <w:rFonts w:ascii="Verdana" w:hAnsi="Verdana" w:cs="Arial"/>
          <w:color w:val="333333"/>
          <w:sz w:val="20"/>
          <w:szCs w:val="20"/>
        </w:rPr>
        <w:t xml:space="preserve"> Se refiere aquellos artículos o disposiciones que eran aplicables durante un periodo de tiempo determinado y dicho periodo ya finalizó</w:t>
      </w:r>
    </w:p>
    <w:p w14:paraId="482B5CD2" w14:textId="77777777" w:rsidR="005F66D0" w:rsidRPr="005F66D0" w:rsidRDefault="005F66D0" w:rsidP="005F66D0">
      <w:pPr>
        <w:spacing w:after="0" w:line="240" w:lineRule="auto"/>
        <w:rPr>
          <w:rFonts w:ascii="Verdana" w:hAnsi="Verdana" w:cs="Arial"/>
          <w:sz w:val="20"/>
          <w:szCs w:val="20"/>
        </w:rPr>
      </w:pPr>
    </w:p>
    <w:p w14:paraId="4294C2E3" w14:textId="72D677EA"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t xml:space="preserve">NORMA OBSOLETA POR EVOLUCIÓN DEL MERCADO: </w:t>
      </w:r>
      <w:r w:rsidRPr="005F66D0">
        <w:rPr>
          <w:rFonts w:ascii="Verdana" w:hAnsi="Verdana" w:cs="Arial"/>
          <w:color w:val="333333"/>
          <w:sz w:val="20"/>
          <w:szCs w:val="20"/>
        </w:rPr>
        <w:t>Se presenta cuando las condiciones en el mercado que dieron origen a la regulación han dejado de existir o cuando dicho mercado evoluciona o deja de existir, de tal manera que es inviable continuar con la aplicación de la norma existente o se han presentado desuso de uno o varios artículos.</w:t>
      </w:r>
    </w:p>
    <w:p w14:paraId="6005517C" w14:textId="77777777" w:rsidR="005F66D0" w:rsidRPr="005F66D0" w:rsidRDefault="005F66D0" w:rsidP="005F66D0">
      <w:pPr>
        <w:spacing w:after="0" w:line="240" w:lineRule="auto"/>
        <w:rPr>
          <w:rFonts w:ascii="Verdana" w:hAnsi="Verdana" w:cs="Arial"/>
          <w:sz w:val="20"/>
          <w:szCs w:val="20"/>
        </w:rPr>
      </w:pPr>
    </w:p>
    <w:p w14:paraId="4713E5C7" w14:textId="5AE2BAE2"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t xml:space="preserve">NORMA OBSOLETA POR EVOLUCIÓN TECNOLÓGICA: </w:t>
      </w:r>
      <w:r w:rsidRPr="005F66D0">
        <w:rPr>
          <w:rFonts w:ascii="Verdana" w:hAnsi="Verdana" w:cs="Arial"/>
          <w:color w:val="333333"/>
          <w:sz w:val="20"/>
          <w:szCs w:val="20"/>
        </w:rPr>
        <w:t>Corresponde a la implementación de tecnologías que han modificado ciertas características de la presentación de servicios propios del sector o que han trasformado los modelos de negocio de los agentes involucrados directa o indirectamente, y por lo mismo, la disposición normativa ya no es aplicable.</w:t>
      </w:r>
    </w:p>
    <w:p w14:paraId="6162D410" w14:textId="77777777" w:rsidR="005F66D0" w:rsidRPr="005F66D0" w:rsidRDefault="005F66D0" w:rsidP="005F66D0">
      <w:pPr>
        <w:spacing w:after="0" w:line="240" w:lineRule="auto"/>
        <w:rPr>
          <w:rFonts w:ascii="Verdana" w:hAnsi="Verdana" w:cs="Arial"/>
          <w:sz w:val="20"/>
          <w:szCs w:val="20"/>
        </w:rPr>
      </w:pPr>
    </w:p>
    <w:p w14:paraId="276E62AC" w14:textId="5D453060"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t xml:space="preserve">NORMAS DE ALTO IMPACTO: </w:t>
      </w:r>
      <w:r w:rsidRPr="005F66D0">
        <w:rPr>
          <w:rFonts w:ascii="Verdana" w:hAnsi="Verdana" w:cs="Arial"/>
          <w:color w:val="333333"/>
          <w:sz w:val="20"/>
          <w:szCs w:val="20"/>
        </w:rPr>
        <w:t>Son aquellas normas que más inciden en las actividades de los ciudadanos, las empresas y otras instituciones. La incidencia se determina por los costos para los usuarios, la cantidad de quienes cobija la norma, la frecuencia del cumplimiento de la regulación, el impacto sobre el mercado (para empresas) y costos que genera para el Gobierno.</w:t>
      </w:r>
    </w:p>
    <w:p w14:paraId="50CC39CC" w14:textId="77777777" w:rsidR="005F66D0" w:rsidRPr="005F66D0" w:rsidRDefault="005F66D0" w:rsidP="005F66D0">
      <w:pPr>
        <w:spacing w:after="0" w:line="240" w:lineRule="auto"/>
        <w:rPr>
          <w:rFonts w:ascii="Verdana" w:hAnsi="Verdana" w:cs="Arial"/>
          <w:sz w:val="20"/>
          <w:szCs w:val="20"/>
        </w:rPr>
      </w:pPr>
    </w:p>
    <w:p w14:paraId="45D234BB" w14:textId="6A8AE7C7"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t xml:space="preserve">PROCESO MISIONAL: </w:t>
      </w:r>
      <w:r w:rsidRPr="005F66D0">
        <w:rPr>
          <w:rFonts w:ascii="Verdana" w:hAnsi="Verdana" w:cs="Arial"/>
          <w:color w:val="333333"/>
          <w:sz w:val="20"/>
          <w:szCs w:val="20"/>
        </w:rPr>
        <w:t>Son procesos clave, de prestación del servicio o estratégicos. Son los que proporcionan el resultado previsto por la entidad en el cumplimiento de su objeto social o razón de ser.</w:t>
      </w:r>
    </w:p>
    <w:p w14:paraId="2C3DB9CF" w14:textId="77777777" w:rsidR="005F66D0" w:rsidRPr="005F66D0" w:rsidRDefault="005F66D0" w:rsidP="005F66D0">
      <w:pPr>
        <w:spacing w:after="0" w:line="240" w:lineRule="auto"/>
        <w:rPr>
          <w:rFonts w:ascii="Verdana" w:hAnsi="Verdana" w:cs="Arial"/>
          <w:sz w:val="20"/>
          <w:szCs w:val="20"/>
        </w:rPr>
      </w:pPr>
    </w:p>
    <w:p w14:paraId="570E05CD" w14:textId="66078A54" w:rsidR="005F66D0" w:rsidRPr="005F66D0" w:rsidRDefault="005F66D0" w:rsidP="005F66D0">
      <w:pPr>
        <w:spacing w:after="0" w:line="240" w:lineRule="auto"/>
        <w:rPr>
          <w:rFonts w:ascii="Verdana" w:hAnsi="Verdana" w:cs="Arial"/>
          <w:sz w:val="20"/>
          <w:szCs w:val="20"/>
        </w:rPr>
      </w:pPr>
      <w:r w:rsidRPr="005F66D0">
        <w:rPr>
          <w:rFonts w:ascii="Verdana" w:hAnsi="Verdana" w:cs="Arial"/>
          <w:sz w:val="20"/>
          <w:szCs w:val="20"/>
        </w:rPr>
        <w:t xml:space="preserve">TIPOS DE INTERVENCIÓN: </w:t>
      </w:r>
      <w:r w:rsidRPr="005F66D0">
        <w:rPr>
          <w:rFonts w:ascii="Verdana" w:hAnsi="Verdana" w:cs="Arial"/>
          <w:color w:val="333333"/>
          <w:sz w:val="20"/>
          <w:szCs w:val="20"/>
        </w:rPr>
        <w:t>Los trámites engorrosos, las barreras, las normas obsoletas y las normas de alto impacto se pueden intervenir de tres (3) formas: normativa, administrativa y tecnológica.</w:t>
      </w:r>
    </w:p>
    <w:p w14:paraId="50016DE0" w14:textId="77777777" w:rsidR="005F66D0" w:rsidRPr="005F66D0" w:rsidRDefault="005F66D0" w:rsidP="005F66D0">
      <w:pPr>
        <w:spacing w:after="0" w:line="240" w:lineRule="auto"/>
        <w:rPr>
          <w:rFonts w:ascii="Verdana" w:hAnsi="Verdana" w:cs="Arial"/>
          <w:sz w:val="20"/>
          <w:szCs w:val="20"/>
        </w:rPr>
      </w:pPr>
    </w:p>
    <w:p w14:paraId="3B8FA958" w14:textId="2C9A7D84" w:rsidR="00A35B13" w:rsidRPr="005F66D0" w:rsidRDefault="005F66D0" w:rsidP="005F66D0">
      <w:pPr>
        <w:spacing w:after="0" w:line="240" w:lineRule="auto"/>
        <w:rPr>
          <w:rFonts w:ascii="Verdana" w:hAnsi="Verdana" w:cs="Arial"/>
          <w:sz w:val="20"/>
          <w:szCs w:val="20"/>
        </w:rPr>
      </w:pPr>
      <w:proofErr w:type="gramStart"/>
      <w:r w:rsidRPr="005F66D0">
        <w:rPr>
          <w:rFonts w:ascii="Verdana" w:hAnsi="Verdana" w:cs="Arial"/>
          <w:sz w:val="20"/>
          <w:szCs w:val="20"/>
        </w:rPr>
        <w:t>VIRTUALIZACIÓN :</w:t>
      </w:r>
      <w:proofErr w:type="gramEnd"/>
      <w:r w:rsidRPr="005F66D0">
        <w:rPr>
          <w:rFonts w:ascii="Verdana" w:hAnsi="Verdana" w:cs="Arial"/>
          <w:sz w:val="20"/>
          <w:szCs w:val="20"/>
        </w:rPr>
        <w:t xml:space="preserve"> </w:t>
      </w:r>
      <w:r w:rsidRPr="005F66D0">
        <w:rPr>
          <w:rFonts w:ascii="Verdana" w:hAnsi="Verdana" w:cs="Arial"/>
          <w:color w:val="333333"/>
          <w:sz w:val="20"/>
          <w:szCs w:val="20"/>
        </w:rPr>
        <w:t>Consiste en digitalizar los procesos (hacer a través de computadores lo que se venía haciendo de forma manual), por lo que implica la transformación informática de ciertos elementos que antes se generaban de forma física.</w:t>
      </w:r>
      <w:r w:rsidRPr="005F66D0">
        <w:rPr>
          <w:rFonts w:ascii="Verdana" w:hAnsi="Verdana" w:cs="Arial"/>
          <w:sz w:val="20"/>
          <w:szCs w:val="20"/>
        </w:rPr>
        <w:t xml:space="preserve"> </w:t>
      </w:r>
    </w:p>
    <w:p w14:paraId="66FD4D5D" w14:textId="77777777" w:rsidR="00A22F3F" w:rsidRPr="00666AB9" w:rsidRDefault="00A22F3F"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30802C3E" w14:textId="77777777" w:rsidR="005F66D0" w:rsidRPr="005F66D0" w:rsidRDefault="00900199" w:rsidP="00900199">
      <w:pPr>
        <w:pStyle w:val="Prrafodelista"/>
        <w:numPr>
          <w:ilvl w:val="1"/>
          <w:numId w:val="11"/>
        </w:numPr>
        <w:spacing w:after="0" w:line="240" w:lineRule="auto"/>
        <w:rPr>
          <w:rFonts w:ascii="Verdana" w:hAnsi="Verdana" w:cs="Arial"/>
          <w:bCs/>
          <w:sz w:val="20"/>
          <w:szCs w:val="20"/>
          <w:lang w:val="es-MX"/>
        </w:rPr>
      </w:pPr>
      <w:r w:rsidRPr="00900199">
        <w:rPr>
          <w:rFonts w:ascii="Verdana" w:hAnsi="Verdana" w:cs="Arial"/>
          <w:b/>
          <w:bCs/>
          <w:sz w:val="20"/>
          <w:szCs w:val="20"/>
          <w:lang w:val="es-MX"/>
        </w:rPr>
        <w:t xml:space="preserve">NORMATIVIDAD </w:t>
      </w:r>
    </w:p>
    <w:p w14:paraId="0C0AF234" w14:textId="77777777" w:rsidR="005F66D0" w:rsidRDefault="005F66D0" w:rsidP="005F66D0">
      <w:pPr>
        <w:spacing w:after="0" w:line="240" w:lineRule="auto"/>
        <w:rPr>
          <w:rFonts w:ascii="Verdana" w:hAnsi="Verdana" w:cs="Arial"/>
          <w:bCs/>
          <w:sz w:val="20"/>
          <w:szCs w:val="20"/>
          <w:lang w:val="es-MX"/>
        </w:rPr>
      </w:pPr>
    </w:p>
    <w:p w14:paraId="0B957161" w14:textId="5086D07A" w:rsidR="00900199" w:rsidRPr="005F66D0" w:rsidRDefault="005F66D0" w:rsidP="005F66D0">
      <w:pPr>
        <w:spacing w:after="0" w:line="240" w:lineRule="auto"/>
        <w:rPr>
          <w:rFonts w:ascii="Verdana" w:hAnsi="Verdana" w:cs="Arial"/>
          <w:bCs/>
          <w:sz w:val="20"/>
          <w:szCs w:val="20"/>
          <w:lang w:val="es-MX"/>
        </w:rPr>
      </w:pPr>
      <w:r w:rsidRPr="005F66D0">
        <w:rPr>
          <w:rFonts w:ascii="Verdana" w:hAnsi="Verdana"/>
          <w:color w:val="000000"/>
          <w:sz w:val="20"/>
          <w:szCs w:val="20"/>
        </w:rPr>
        <w:t>Directiva 07 de 2018 de Presidencia de la República, busca que la ciudadanía, empresarios, comerciantes y gremios participen en simplificación de trámites y normativas.</w:t>
      </w:r>
      <w:r w:rsidRPr="005F66D0">
        <w:rPr>
          <w:rFonts w:ascii="Verdana" w:hAnsi="Verdana"/>
          <w:color w:val="000000"/>
          <w:sz w:val="20"/>
          <w:szCs w:val="20"/>
        </w:rPr>
        <w:br/>
      </w:r>
      <w:r w:rsidRPr="005F66D0">
        <w:rPr>
          <w:rFonts w:ascii="Verdana" w:hAnsi="Verdana"/>
          <w:color w:val="000000"/>
          <w:sz w:val="20"/>
          <w:szCs w:val="20"/>
        </w:rPr>
        <w:br/>
        <w:t xml:space="preserve">Circular Conjunta </w:t>
      </w:r>
      <w:proofErr w:type="spellStart"/>
      <w:r w:rsidRPr="005F66D0">
        <w:rPr>
          <w:rFonts w:ascii="Verdana" w:hAnsi="Verdana"/>
          <w:color w:val="000000"/>
          <w:sz w:val="20"/>
          <w:szCs w:val="20"/>
        </w:rPr>
        <w:t>N°</w:t>
      </w:r>
      <w:proofErr w:type="spellEnd"/>
      <w:r w:rsidRPr="005F66D0">
        <w:rPr>
          <w:rFonts w:ascii="Verdana" w:hAnsi="Verdana"/>
          <w:color w:val="000000"/>
          <w:sz w:val="20"/>
          <w:szCs w:val="20"/>
        </w:rPr>
        <w:t xml:space="preserve">. 100-006 - 2018, dirigida a gobernadores y alcaldes del país, dando lineamientos </w:t>
      </w:r>
      <w:r w:rsidRPr="005F66D0">
        <w:rPr>
          <w:rFonts w:ascii="Verdana" w:hAnsi="Verdana"/>
          <w:color w:val="000000"/>
          <w:sz w:val="20"/>
          <w:szCs w:val="20"/>
        </w:rPr>
        <w:lastRenderedPageBreak/>
        <w:t>para que las entidades locales adopten la metodología de racionalizar trámites y mejora regulatoria.</w:t>
      </w:r>
      <w:r w:rsidRPr="005F66D0">
        <w:rPr>
          <w:rFonts w:ascii="Verdana" w:hAnsi="Verdana"/>
          <w:color w:val="000000"/>
          <w:sz w:val="20"/>
          <w:szCs w:val="20"/>
        </w:rPr>
        <w:br/>
      </w:r>
      <w:r w:rsidRPr="005F66D0">
        <w:rPr>
          <w:rFonts w:ascii="Verdana" w:hAnsi="Verdana"/>
          <w:color w:val="000000"/>
          <w:sz w:val="20"/>
          <w:szCs w:val="20"/>
        </w:rPr>
        <w:br/>
        <w:t>Decreto 019 de 2012: por el cual se dictan normas para suprimir o reformar regulaciones, procedimientos y trámites innecesarios existentes en la administración pública.</w:t>
      </w:r>
      <w:r w:rsidRPr="005F66D0">
        <w:rPr>
          <w:rFonts w:ascii="Verdana" w:hAnsi="Verdana"/>
          <w:color w:val="000000"/>
          <w:sz w:val="20"/>
          <w:szCs w:val="20"/>
        </w:rPr>
        <w:br/>
      </w:r>
      <w:r w:rsidRPr="005F66D0">
        <w:rPr>
          <w:rFonts w:ascii="Verdana" w:hAnsi="Verdana"/>
          <w:color w:val="000000"/>
          <w:sz w:val="20"/>
          <w:szCs w:val="20"/>
        </w:rPr>
        <w:br/>
        <w:t>Decreto Ley 2106 de 2019, se expide con el propósito de simplificar, suprimir y reformar trámites, procesos y procedimientos de la administración pública.</w:t>
      </w:r>
      <w:r w:rsidRPr="005F66D0">
        <w:rPr>
          <w:rFonts w:ascii="Verdana" w:hAnsi="Verdana"/>
          <w:color w:val="000000"/>
          <w:sz w:val="20"/>
          <w:szCs w:val="20"/>
        </w:rPr>
        <w:br/>
      </w:r>
      <w:r w:rsidRPr="005F66D0">
        <w:rPr>
          <w:rFonts w:ascii="Verdana" w:hAnsi="Verdana"/>
          <w:color w:val="000000"/>
          <w:sz w:val="20"/>
          <w:szCs w:val="20"/>
        </w:rPr>
        <w:br/>
      </w:r>
      <w:r w:rsidRPr="005F66D0">
        <w:rPr>
          <w:rFonts w:ascii="Verdana" w:hAnsi="Verdana"/>
          <w:color w:val="000000"/>
          <w:sz w:val="20"/>
          <w:szCs w:val="20"/>
        </w:rPr>
        <w:br/>
      </w:r>
      <w:r w:rsidRPr="005F66D0">
        <w:rPr>
          <w:rFonts w:ascii="Verdana" w:hAnsi="Verdana"/>
          <w:b/>
          <w:bCs/>
          <w:color w:val="000000"/>
          <w:sz w:val="20"/>
          <w:szCs w:val="20"/>
        </w:rPr>
        <w:t>4.2. DOCUMENTOS SOPORTE INICIACIÓN DEL PROCEDIMIENTO</w:t>
      </w:r>
      <w:r w:rsidRPr="005F66D0">
        <w:rPr>
          <w:rFonts w:ascii="Verdana" w:hAnsi="Verdana"/>
          <w:color w:val="000000"/>
          <w:sz w:val="20"/>
          <w:szCs w:val="20"/>
        </w:rPr>
        <w:br/>
      </w:r>
      <w:r w:rsidRPr="005F66D0">
        <w:rPr>
          <w:rFonts w:ascii="Verdana" w:hAnsi="Verdana"/>
          <w:color w:val="000000"/>
          <w:sz w:val="20"/>
          <w:szCs w:val="20"/>
        </w:rPr>
        <w:br/>
        <w:t>Formato ficha descripción de intervención</w:t>
      </w:r>
      <w:r w:rsidRPr="005F66D0">
        <w:rPr>
          <w:rFonts w:ascii="Verdana" w:hAnsi="Verdana"/>
          <w:color w:val="000000"/>
          <w:sz w:val="20"/>
          <w:szCs w:val="20"/>
        </w:rPr>
        <w:br/>
        <w:t>Documento metodológico para el cálculo del ahorro al usuario por intervención de barreras y normas</w:t>
      </w:r>
      <w:r w:rsidRPr="005F66D0">
        <w:rPr>
          <w:rFonts w:ascii="Verdana" w:hAnsi="Verdana"/>
          <w:color w:val="000000"/>
          <w:sz w:val="20"/>
          <w:szCs w:val="20"/>
        </w:rPr>
        <w:br/>
      </w:r>
      <w:r w:rsidRPr="005F66D0">
        <w:rPr>
          <w:rFonts w:ascii="Verdana" w:hAnsi="Verdana"/>
          <w:color w:val="000000"/>
          <w:sz w:val="20"/>
          <w:szCs w:val="20"/>
        </w:rPr>
        <w:br/>
      </w:r>
      <w:r w:rsidRPr="005F66D0">
        <w:rPr>
          <w:rFonts w:ascii="Verdana" w:hAnsi="Verdana"/>
          <w:b/>
          <w:bCs/>
          <w:color w:val="000000"/>
          <w:sz w:val="20"/>
          <w:szCs w:val="20"/>
        </w:rPr>
        <w:t>4.3. ETAPAS DEL PROCEDIMIENTO</w:t>
      </w:r>
      <w:r w:rsidRPr="005F66D0">
        <w:rPr>
          <w:rFonts w:ascii="Verdana" w:hAnsi="Verdana"/>
          <w:color w:val="000000"/>
          <w:sz w:val="20"/>
          <w:szCs w:val="20"/>
        </w:rPr>
        <w:br/>
      </w:r>
      <w:r w:rsidRPr="005F66D0">
        <w:rPr>
          <w:rFonts w:ascii="Verdana" w:hAnsi="Verdana"/>
          <w:color w:val="000000"/>
          <w:sz w:val="20"/>
          <w:szCs w:val="20"/>
        </w:rPr>
        <w:br/>
        <w:t>Identificación de intervenciones</w:t>
      </w:r>
      <w:r w:rsidRPr="005F66D0">
        <w:rPr>
          <w:rFonts w:ascii="Verdana" w:hAnsi="Verdana"/>
          <w:color w:val="000000"/>
          <w:sz w:val="20"/>
          <w:szCs w:val="20"/>
        </w:rPr>
        <w:br/>
      </w:r>
      <w:r w:rsidRPr="005F66D0">
        <w:rPr>
          <w:rFonts w:ascii="Verdana" w:hAnsi="Verdana"/>
          <w:color w:val="000000"/>
          <w:sz w:val="20"/>
          <w:szCs w:val="20"/>
        </w:rPr>
        <w:br/>
        <w:t>Cálculo de ahorro y publicación de informes</w:t>
      </w:r>
      <w:r w:rsidRPr="005F66D0">
        <w:rPr>
          <w:rFonts w:ascii="Verdana" w:hAnsi="Verdana"/>
          <w:color w:val="000000"/>
          <w:sz w:val="20"/>
          <w:szCs w:val="20"/>
        </w:rPr>
        <w:br/>
      </w:r>
      <w:r w:rsidRPr="005F66D0">
        <w:rPr>
          <w:rFonts w:ascii="Verdana" w:hAnsi="Verdana"/>
          <w:color w:val="000000"/>
          <w:sz w:val="20"/>
          <w:szCs w:val="20"/>
        </w:rPr>
        <w:br/>
        <w:t>Publicidad de la Información</w:t>
      </w:r>
    </w:p>
    <w:p w14:paraId="3D93C2CE" w14:textId="77777777" w:rsidR="00900199" w:rsidRPr="00900199" w:rsidRDefault="00900199" w:rsidP="00900199">
      <w:pPr>
        <w:pStyle w:val="Prrafodelista"/>
        <w:spacing w:after="0" w:line="240" w:lineRule="auto"/>
        <w:rPr>
          <w:rFonts w:ascii="Verdana" w:hAnsi="Verdana" w:cs="Arial"/>
          <w:bCs/>
          <w:sz w:val="20"/>
          <w:szCs w:val="20"/>
          <w:lang w:val="es-MX"/>
        </w:rPr>
      </w:pPr>
    </w:p>
    <w:p w14:paraId="58536DD1" w14:textId="096C9751"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5F66D0">
        <w:rPr>
          <w:rFonts w:ascii="Verdana" w:hAnsi="Verdana" w:cs="Arial"/>
          <w:b/>
          <w:bCs/>
          <w:sz w:val="20"/>
          <w:szCs w:val="20"/>
          <w:lang w:val="es-MX"/>
        </w:rPr>
        <w:t>4</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45EAAC5F" w14:textId="77777777" w:rsidR="00BB1B01" w:rsidRDefault="00BB1B01" w:rsidP="005F66D0">
      <w:pPr>
        <w:spacing w:after="0" w:line="240" w:lineRule="auto"/>
        <w:jc w:val="both"/>
        <w:rPr>
          <w:rFonts w:ascii="Verdana" w:hAnsi="Verdana" w:cs="Arial"/>
          <w:bCs/>
          <w:sz w:val="16"/>
          <w:szCs w:val="16"/>
        </w:rPr>
      </w:pPr>
    </w:p>
    <w:p w14:paraId="7126CDCD" w14:textId="6312B08D" w:rsidR="00EA0826" w:rsidRDefault="00130AB6" w:rsidP="00B521E8">
      <w:pPr>
        <w:spacing w:after="0" w:line="240" w:lineRule="auto"/>
        <w:jc w:val="center"/>
        <w:rPr>
          <w:rFonts w:ascii="Verdana" w:hAnsi="Verdana" w:cs="Arial"/>
          <w:b/>
          <w:sz w:val="20"/>
          <w:szCs w:val="20"/>
        </w:rPr>
      </w:pPr>
      <w:r>
        <w:rPr>
          <w:rFonts w:ascii="Verdana" w:hAnsi="Verdana" w:cs="Arial"/>
          <w:b/>
          <w:noProof/>
          <w:sz w:val="20"/>
          <w:szCs w:val="20"/>
        </w:rPr>
        <w:lastRenderedPageBreak/>
        <w:drawing>
          <wp:inline distT="0" distB="0" distL="0" distR="0" wp14:anchorId="5F0BFF37" wp14:editId="766D9974">
            <wp:extent cx="4730993" cy="4299171"/>
            <wp:effectExtent l="0" t="0" r="0" b="6350"/>
            <wp:docPr id="12218279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27911" name="Imagen 1221827911"/>
                    <pic:cNvPicPr/>
                  </pic:nvPicPr>
                  <pic:blipFill>
                    <a:blip r:embed="rId12">
                      <a:extLst>
                        <a:ext uri="{28A0092B-C50C-407E-A947-70E740481C1C}">
                          <a14:useLocalDpi xmlns:a14="http://schemas.microsoft.com/office/drawing/2010/main" val="0"/>
                        </a:ext>
                      </a:extLst>
                    </a:blip>
                    <a:stretch>
                      <a:fillRect/>
                    </a:stretch>
                  </pic:blipFill>
                  <pic:spPr>
                    <a:xfrm>
                      <a:off x="0" y="0"/>
                      <a:ext cx="4730993" cy="4299171"/>
                    </a:xfrm>
                    <a:prstGeom prst="rect">
                      <a:avLst/>
                    </a:prstGeom>
                  </pic:spPr>
                </pic:pic>
              </a:graphicData>
            </a:graphic>
          </wp:inline>
        </w:drawing>
      </w:r>
    </w:p>
    <w:p w14:paraId="0458A0A7" w14:textId="77777777" w:rsidR="00130AB6" w:rsidRDefault="00130AB6" w:rsidP="00B521E8">
      <w:pPr>
        <w:spacing w:after="0" w:line="240" w:lineRule="auto"/>
        <w:jc w:val="center"/>
        <w:rPr>
          <w:rFonts w:ascii="Verdana" w:hAnsi="Verdana" w:cs="Arial"/>
          <w:b/>
          <w:sz w:val="20"/>
          <w:szCs w:val="20"/>
        </w:rPr>
      </w:pPr>
    </w:p>
    <w:p w14:paraId="25B197E9" w14:textId="77777777" w:rsidR="00130AB6" w:rsidRPr="00666AB9" w:rsidRDefault="00130AB6" w:rsidP="00B521E8">
      <w:pPr>
        <w:spacing w:after="0" w:line="240" w:lineRule="auto"/>
        <w:jc w:val="center"/>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99"/>
        <w:gridCol w:w="1956"/>
        <w:gridCol w:w="3714"/>
        <w:gridCol w:w="2962"/>
      </w:tblGrid>
      <w:tr w:rsidR="00DA19DE" w:rsidRPr="00666AB9" w14:paraId="127FA709" w14:textId="77777777" w:rsidTr="00C650E9">
        <w:trPr>
          <w:trHeight w:val="17"/>
          <w:tblHeader/>
        </w:trPr>
        <w:tc>
          <w:tcPr>
            <w:tcW w:w="540"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23"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97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3799"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2833"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C650E9" w14:paraId="63F6096D" w14:textId="77777777" w:rsidTr="00C650E9">
        <w:trPr>
          <w:trHeight w:val="545"/>
        </w:trPr>
        <w:tc>
          <w:tcPr>
            <w:tcW w:w="540" w:type="dxa"/>
            <w:tcBorders>
              <w:bottom w:val="single" w:sz="4" w:space="0" w:color="auto"/>
            </w:tcBorders>
            <w:tcMar>
              <w:top w:w="57" w:type="dxa"/>
              <w:left w:w="113" w:type="dxa"/>
              <w:bottom w:w="57" w:type="dxa"/>
            </w:tcMar>
            <w:vAlign w:val="center"/>
          </w:tcPr>
          <w:p w14:paraId="4637AD1B" w14:textId="00B26907" w:rsidR="00DA19DE" w:rsidRPr="00C650E9" w:rsidRDefault="00AD5DB2" w:rsidP="003033FD">
            <w:pPr>
              <w:spacing w:after="0" w:line="240" w:lineRule="auto"/>
              <w:ind w:left="-15"/>
              <w:jc w:val="center"/>
              <w:rPr>
                <w:rFonts w:ascii="Verdana" w:hAnsi="Verdana" w:cs="Arial"/>
                <w:b/>
                <w:sz w:val="16"/>
                <w:szCs w:val="16"/>
              </w:rPr>
            </w:pPr>
            <w:r w:rsidRPr="00C650E9">
              <w:rPr>
                <w:rFonts w:ascii="Verdana" w:hAnsi="Verdana" w:cs="Arial"/>
                <w:b/>
                <w:sz w:val="16"/>
                <w:szCs w:val="16"/>
              </w:rPr>
              <w:t>1</w:t>
            </w:r>
          </w:p>
        </w:tc>
        <w:tc>
          <w:tcPr>
            <w:tcW w:w="1623" w:type="dxa"/>
            <w:tcBorders>
              <w:bottom w:val="single" w:sz="4" w:space="0" w:color="auto"/>
            </w:tcBorders>
            <w:tcMar>
              <w:top w:w="57" w:type="dxa"/>
              <w:left w:w="113" w:type="dxa"/>
              <w:bottom w:w="57" w:type="dxa"/>
            </w:tcMar>
            <w:vAlign w:val="center"/>
          </w:tcPr>
          <w:p w14:paraId="60F8BE6C" w14:textId="0FB9B2E2" w:rsidR="00DA19DE" w:rsidRPr="00C650E9" w:rsidRDefault="005F66D0" w:rsidP="007341F5">
            <w:pPr>
              <w:spacing w:after="0" w:line="240" w:lineRule="auto"/>
              <w:ind w:left="-15"/>
              <w:jc w:val="center"/>
              <w:rPr>
                <w:rFonts w:ascii="Verdana" w:hAnsi="Verdana" w:cs="Arial"/>
                <w:bCs/>
                <w:sz w:val="16"/>
                <w:szCs w:val="16"/>
              </w:rPr>
            </w:pPr>
            <w:r w:rsidRPr="00C650E9">
              <w:rPr>
                <w:rFonts w:ascii="Verdana" w:hAnsi="Verdana" w:cs="Arial"/>
                <w:color w:val="000000"/>
                <w:sz w:val="16"/>
                <w:szCs w:val="16"/>
              </w:rPr>
              <w:t>Buscar e identificar intervenciones que impacten la estrategia ESCA</w:t>
            </w:r>
          </w:p>
        </w:tc>
        <w:tc>
          <w:tcPr>
            <w:tcW w:w="1973" w:type="dxa"/>
            <w:tcBorders>
              <w:bottom w:val="single" w:sz="4" w:space="0" w:color="auto"/>
            </w:tcBorders>
            <w:tcMar>
              <w:top w:w="57" w:type="dxa"/>
              <w:left w:w="113" w:type="dxa"/>
              <w:bottom w:w="57" w:type="dxa"/>
            </w:tcMar>
            <w:vAlign w:val="center"/>
          </w:tcPr>
          <w:p w14:paraId="03FA381E" w14:textId="08356DE0" w:rsidR="00DA19DE" w:rsidRPr="00C650E9" w:rsidRDefault="005F66D0" w:rsidP="003033FD">
            <w:pPr>
              <w:spacing w:after="0" w:line="240" w:lineRule="auto"/>
              <w:ind w:left="-15"/>
              <w:jc w:val="center"/>
              <w:rPr>
                <w:rFonts w:ascii="Verdana" w:hAnsi="Verdana" w:cs="Arial"/>
                <w:sz w:val="16"/>
                <w:szCs w:val="16"/>
              </w:rPr>
            </w:pPr>
            <w:r w:rsidRPr="00C650E9">
              <w:rPr>
                <w:rFonts w:ascii="Verdana" w:hAnsi="Verdana" w:cs="Arial"/>
                <w:color w:val="000000"/>
                <w:sz w:val="16"/>
                <w:szCs w:val="16"/>
              </w:rPr>
              <w:t>Equipo ESCA</w:t>
            </w:r>
          </w:p>
        </w:tc>
        <w:tc>
          <w:tcPr>
            <w:tcW w:w="3799" w:type="dxa"/>
            <w:tcBorders>
              <w:bottom w:val="single" w:sz="4" w:space="0" w:color="auto"/>
            </w:tcBorders>
            <w:tcMar>
              <w:top w:w="57" w:type="dxa"/>
              <w:left w:w="113" w:type="dxa"/>
              <w:bottom w:w="57" w:type="dxa"/>
            </w:tcMar>
          </w:tcPr>
          <w:p w14:paraId="220445FF" w14:textId="34695C46" w:rsidR="00DA19DE" w:rsidRPr="00C650E9" w:rsidRDefault="005F66D0" w:rsidP="618C038B">
            <w:pPr>
              <w:spacing w:after="0" w:line="240" w:lineRule="auto"/>
              <w:ind w:left="-15"/>
              <w:jc w:val="both"/>
              <w:rPr>
                <w:rFonts w:ascii="Verdana" w:hAnsi="Verdana" w:cs="Arial"/>
                <w:sz w:val="16"/>
                <w:szCs w:val="16"/>
              </w:rPr>
            </w:pPr>
            <w:r w:rsidRPr="00C650E9">
              <w:rPr>
                <w:rFonts w:ascii="Verdana" w:hAnsi="Verdana" w:cs="Arial"/>
                <w:color w:val="000000"/>
                <w:sz w:val="16"/>
                <w:szCs w:val="16"/>
              </w:rPr>
              <w:t>Se realiza la búsqueda de intervenciones que posiblemente tengan impacto en la estrategia ESCA en cuanto a la racionalización de barreras y normas obsoletas, a través del Diario Oficial, redes sociales, páginas oficiales de las entidades, noticias, entre otras.</w:t>
            </w:r>
            <w:r w:rsidRPr="00C650E9">
              <w:rPr>
                <w:rFonts w:ascii="Verdana" w:hAnsi="Verdana" w:cs="Arial"/>
                <w:color w:val="000000"/>
                <w:sz w:val="16"/>
                <w:szCs w:val="16"/>
              </w:rPr>
              <w:br/>
              <w:t>Para la identificación de intervenciones se debe tener en cuenta alguna o varias de estas opciones:</w:t>
            </w:r>
            <w:r w:rsidRPr="00C650E9">
              <w:rPr>
                <w:rFonts w:ascii="Verdana" w:hAnsi="Verdana" w:cs="Arial"/>
                <w:color w:val="000000"/>
                <w:sz w:val="16"/>
                <w:szCs w:val="16"/>
              </w:rPr>
              <w:br/>
            </w:r>
            <w:r w:rsidRPr="00C650E9">
              <w:rPr>
                <w:rFonts w:ascii="Verdana" w:hAnsi="Verdana" w:cs="Arial"/>
                <w:color w:val="000000"/>
                <w:sz w:val="16"/>
                <w:szCs w:val="16"/>
              </w:rPr>
              <w:br/>
              <w:t>. Ampliación de horarios de atención</w:t>
            </w:r>
            <w:r w:rsidRPr="00C650E9">
              <w:rPr>
                <w:rFonts w:ascii="Verdana" w:hAnsi="Verdana" w:cs="Arial"/>
                <w:color w:val="000000"/>
                <w:sz w:val="16"/>
                <w:szCs w:val="16"/>
              </w:rPr>
              <w:br/>
              <w:t>. Canales o puntos de atención</w:t>
            </w:r>
            <w:r w:rsidRPr="00C650E9">
              <w:rPr>
                <w:rFonts w:ascii="Verdana" w:hAnsi="Verdana" w:cs="Arial"/>
                <w:color w:val="000000"/>
                <w:sz w:val="16"/>
                <w:szCs w:val="16"/>
              </w:rPr>
              <w:br/>
              <w:t>. Reducción o eliminación de tarifas</w:t>
            </w:r>
            <w:r w:rsidRPr="00C650E9">
              <w:rPr>
                <w:rFonts w:ascii="Verdana" w:hAnsi="Verdana" w:cs="Arial"/>
                <w:color w:val="000000"/>
                <w:sz w:val="16"/>
                <w:szCs w:val="16"/>
              </w:rPr>
              <w:br/>
              <w:t>. Reducción o eliminación de requisitos o documentos</w:t>
            </w:r>
            <w:r w:rsidRPr="00C650E9">
              <w:rPr>
                <w:rFonts w:ascii="Verdana" w:hAnsi="Verdana" w:cs="Arial"/>
                <w:color w:val="000000"/>
                <w:sz w:val="16"/>
                <w:szCs w:val="16"/>
              </w:rPr>
              <w:br/>
              <w:t>. Eliminación o modificación de procedimiento</w:t>
            </w:r>
            <w:r w:rsidRPr="00C650E9">
              <w:rPr>
                <w:rFonts w:ascii="Verdana" w:hAnsi="Verdana" w:cs="Arial"/>
                <w:color w:val="000000"/>
                <w:sz w:val="16"/>
                <w:szCs w:val="16"/>
              </w:rPr>
              <w:br/>
              <w:t xml:space="preserve">. Virtualización o automatización de </w:t>
            </w:r>
            <w:r w:rsidRPr="00C650E9">
              <w:rPr>
                <w:rFonts w:ascii="Verdana" w:hAnsi="Verdana" w:cs="Arial"/>
                <w:color w:val="000000"/>
                <w:sz w:val="16"/>
                <w:szCs w:val="16"/>
              </w:rPr>
              <w:lastRenderedPageBreak/>
              <w:t>procedimientos</w:t>
            </w:r>
            <w:r w:rsidRPr="00C650E9">
              <w:rPr>
                <w:rFonts w:ascii="Verdana" w:hAnsi="Verdana" w:cs="Arial"/>
                <w:color w:val="000000"/>
                <w:sz w:val="16"/>
                <w:szCs w:val="16"/>
              </w:rPr>
              <w:br/>
              <w:t>. Reducción de tiempo de obtención del procedimiento</w:t>
            </w:r>
            <w:r w:rsidRPr="00C650E9">
              <w:rPr>
                <w:rFonts w:ascii="Verdana" w:hAnsi="Verdana" w:cs="Arial"/>
                <w:color w:val="000000"/>
                <w:sz w:val="16"/>
                <w:szCs w:val="16"/>
              </w:rPr>
              <w:br/>
              <w:t>. Seguimiento, respuesta o notificación electrónica, pago en línea, radicación en línea o telefónicamente.</w:t>
            </w:r>
            <w:r w:rsidRPr="00C650E9">
              <w:rPr>
                <w:rFonts w:ascii="Verdana" w:hAnsi="Verdana" w:cs="Arial"/>
                <w:color w:val="000000"/>
                <w:sz w:val="16"/>
                <w:szCs w:val="16"/>
              </w:rPr>
              <w:br/>
              <w:t>. Derogación o supresión de normas.</w:t>
            </w:r>
            <w:r w:rsidRPr="00C650E9">
              <w:rPr>
                <w:rFonts w:ascii="Verdana" w:hAnsi="Verdana" w:cs="Arial"/>
                <w:color w:val="000000"/>
                <w:sz w:val="16"/>
                <w:szCs w:val="16"/>
              </w:rPr>
              <w:br/>
              <w:t>Se debe verificar que la intervención a reportar no esté en el Sistema Único de Información de Trámites y Servicios -SUIT, para validar que no sea un trámite y evitar la duplicidad de la información.</w:t>
            </w:r>
            <w:r w:rsidRPr="00C650E9">
              <w:rPr>
                <w:rFonts w:ascii="Verdana" w:hAnsi="Verdana" w:cs="Arial"/>
                <w:color w:val="000000"/>
                <w:sz w:val="16"/>
                <w:szCs w:val="16"/>
              </w:rPr>
              <w:br/>
              <w:t>Periodicidad: Semanal</w:t>
            </w:r>
          </w:p>
        </w:tc>
        <w:tc>
          <w:tcPr>
            <w:tcW w:w="2833" w:type="dxa"/>
            <w:tcBorders>
              <w:bottom w:val="single" w:sz="4" w:space="0" w:color="auto"/>
            </w:tcBorders>
            <w:tcMar>
              <w:top w:w="57" w:type="dxa"/>
              <w:left w:w="113" w:type="dxa"/>
              <w:bottom w:w="57" w:type="dxa"/>
            </w:tcMar>
            <w:vAlign w:val="center"/>
          </w:tcPr>
          <w:p w14:paraId="18FE0442" w14:textId="0138618D" w:rsidR="00DA19DE" w:rsidRPr="00C650E9" w:rsidRDefault="005F66D0" w:rsidP="003033FD">
            <w:pPr>
              <w:spacing w:after="0" w:line="240" w:lineRule="auto"/>
              <w:ind w:left="-15"/>
              <w:jc w:val="center"/>
              <w:rPr>
                <w:rFonts w:ascii="Verdana" w:hAnsi="Verdana" w:cs="Arial"/>
                <w:sz w:val="16"/>
                <w:szCs w:val="16"/>
              </w:rPr>
            </w:pPr>
            <w:r w:rsidRPr="00C650E9">
              <w:rPr>
                <w:rFonts w:ascii="Verdana" w:hAnsi="Verdana" w:cs="Arial"/>
                <w:color w:val="000000"/>
                <w:sz w:val="16"/>
                <w:szCs w:val="16"/>
              </w:rPr>
              <w:lastRenderedPageBreak/>
              <w:t>Pantallazos de las búsquedas realizadas</w:t>
            </w:r>
          </w:p>
        </w:tc>
      </w:tr>
      <w:tr w:rsidR="00DA19DE" w:rsidRPr="00C650E9" w14:paraId="1607CFEA" w14:textId="77777777" w:rsidTr="00C650E9">
        <w:trPr>
          <w:trHeight w:val="17"/>
        </w:trPr>
        <w:tc>
          <w:tcPr>
            <w:tcW w:w="540" w:type="dxa"/>
            <w:tcMar>
              <w:top w:w="57" w:type="dxa"/>
              <w:left w:w="113" w:type="dxa"/>
              <w:bottom w:w="57" w:type="dxa"/>
            </w:tcMar>
            <w:vAlign w:val="center"/>
          </w:tcPr>
          <w:p w14:paraId="70D4964D" w14:textId="5773F521" w:rsidR="00DA19DE" w:rsidRPr="00C650E9" w:rsidRDefault="00AD5DB2" w:rsidP="003033FD">
            <w:pPr>
              <w:spacing w:after="0" w:line="240" w:lineRule="auto"/>
              <w:ind w:left="-142"/>
              <w:jc w:val="center"/>
              <w:rPr>
                <w:rFonts w:ascii="Verdana" w:hAnsi="Verdana" w:cs="Arial"/>
                <w:b/>
                <w:sz w:val="16"/>
                <w:szCs w:val="16"/>
              </w:rPr>
            </w:pPr>
            <w:r w:rsidRPr="00C650E9">
              <w:rPr>
                <w:rFonts w:ascii="Verdana" w:hAnsi="Verdana" w:cs="Arial"/>
                <w:b/>
                <w:sz w:val="16"/>
                <w:szCs w:val="16"/>
              </w:rPr>
              <w:t>2</w:t>
            </w:r>
          </w:p>
        </w:tc>
        <w:tc>
          <w:tcPr>
            <w:tcW w:w="1623" w:type="dxa"/>
            <w:tcMar>
              <w:top w:w="57" w:type="dxa"/>
              <w:left w:w="113" w:type="dxa"/>
              <w:bottom w:w="57" w:type="dxa"/>
            </w:tcMar>
            <w:vAlign w:val="center"/>
          </w:tcPr>
          <w:p w14:paraId="269703E8" w14:textId="52969481" w:rsidR="00DA19DE" w:rsidRPr="00C650E9" w:rsidRDefault="005F66D0" w:rsidP="007341F5">
            <w:pPr>
              <w:spacing w:after="0" w:line="240" w:lineRule="auto"/>
              <w:jc w:val="center"/>
              <w:rPr>
                <w:rFonts w:ascii="Verdana" w:hAnsi="Verdana" w:cs="Arial"/>
                <w:sz w:val="16"/>
                <w:szCs w:val="16"/>
              </w:rPr>
            </w:pPr>
            <w:r w:rsidRPr="00C650E9">
              <w:rPr>
                <w:rFonts w:ascii="Verdana" w:hAnsi="Verdana" w:cs="Arial"/>
                <w:color w:val="000000"/>
                <w:sz w:val="16"/>
                <w:szCs w:val="16"/>
              </w:rPr>
              <w:t>Diligenciar ficha de intervención</w:t>
            </w:r>
          </w:p>
        </w:tc>
        <w:tc>
          <w:tcPr>
            <w:tcW w:w="1973" w:type="dxa"/>
            <w:tcMar>
              <w:top w:w="57" w:type="dxa"/>
              <w:left w:w="113" w:type="dxa"/>
              <w:bottom w:w="57" w:type="dxa"/>
            </w:tcMar>
            <w:vAlign w:val="center"/>
          </w:tcPr>
          <w:p w14:paraId="0F2984B5" w14:textId="5D27FDDA" w:rsidR="00DA19DE" w:rsidRPr="00C650E9" w:rsidRDefault="005F66D0" w:rsidP="003033FD">
            <w:pPr>
              <w:spacing w:after="0" w:line="240" w:lineRule="auto"/>
              <w:rPr>
                <w:rFonts w:ascii="Verdana" w:hAnsi="Verdana" w:cs="Arial"/>
                <w:sz w:val="16"/>
                <w:szCs w:val="16"/>
              </w:rPr>
            </w:pPr>
            <w:r w:rsidRPr="00C650E9">
              <w:rPr>
                <w:rFonts w:ascii="Verdana" w:hAnsi="Verdana" w:cs="Arial"/>
                <w:color w:val="000000"/>
                <w:sz w:val="16"/>
                <w:szCs w:val="16"/>
              </w:rPr>
              <w:t>Equipo ESCA</w:t>
            </w:r>
          </w:p>
        </w:tc>
        <w:tc>
          <w:tcPr>
            <w:tcW w:w="3799" w:type="dxa"/>
            <w:tcMar>
              <w:top w:w="57" w:type="dxa"/>
              <w:left w:w="113" w:type="dxa"/>
              <w:bottom w:w="57" w:type="dxa"/>
            </w:tcMar>
          </w:tcPr>
          <w:p w14:paraId="6BC621A6" w14:textId="4BD3E71C" w:rsidR="00DA19DE" w:rsidRPr="00C650E9" w:rsidRDefault="005F66D0" w:rsidP="003033FD">
            <w:pPr>
              <w:spacing w:after="0" w:line="240" w:lineRule="auto"/>
              <w:jc w:val="both"/>
              <w:rPr>
                <w:rFonts w:ascii="Verdana" w:hAnsi="Verdana" w:cs="Arial"/>
                <w:sz w:val="16"/>
                <w:szCs w:val="16"/>
              </w:rPr>
            </w:pPr>
            <w:r w:rsidRPr="00C650E9">
              <w:rPr>
                <w:rFonts w:ascii="Verdana" w:hAnsi="Verdana" w:cs="Arial"/>
                <w:color w:val="000000"/>
                <w:sz w:val="16"/>
                <w:szCs w:val="16"/>
              </w:rPr>
              <w:t>Una vez se identifique la intervención con impacto en la racionalización de barreras y mejora normativa, se diligencia el </w:t>
            </w:r>
            <w:r w:rsidRPr="00C650E9">
              <w:rPr>
                <w:rFonts w:ascii="Verdana" w:hAnsi="Verdana" w:cs="Arial"/>
                <w:bCs/>
                <w:color w:val="000000"/>
                <w:sz w:val="16"/>
                <w:szCs w:val="16"/>
              </w:rPr>
              <w:t>FORMATO FICHA DESCRIPCIÓN DE INTERVENCIÓN</w:t>
            </w:r>
            <w:r w:rsidRPr="00C650E9">
              <w:rPr>
                <w:rFonts w:ascii="Verdana" w:hAnsi="Verdana" w:cs="Arial"/>
                <w:color w:val="000000"/>
                <w:sz w:val="16"/>
                <w:szCs w:val="16"/>
              </w:rPr>
              <w:t> con el nombre de la entidad, fecha de registro, ordenamiento, nombre del procedimiento, clasificación del procedimiento, tipo de beneficio al usuario, fecha de intervención, característica de la intervención, descripción general), para remitirlo mediante correo electrónico a la entidad y/o dirección a cargo, con el fin de solicitar la información detallada de la intervención de acuerdo con las instrucciones dadas en el documento </w:t>
            </w:r>
            <w:r w:rsidRPr="00C650E9">
              <w:rPr>
                <w:rFonts w:ascii="Verdana" w:hAnsi="Verdana" w:cs="Arial"/>
                <w:bCs/>
                <w:color w:val="000000"/>
                <w:sz w:val="16"/>
                <w:szCs w:val="16"/>
              </w:rPr>
              <w:t>ABC de Barreras y Mejoras Normativas.</w:t>
            </w:r>
            <w:r w:rsidRPr="00C650E9">
              <w:rPr>
                <w:rFonts w:ascii="Verdana" w:hAnsi="Verdana" w:cs="Arial"/>
                <w:color w:val="000000"/>
                <w:sz w:val="16"/>
                <w:szCs w:val="16"/>
              </w:rPr>
              <w:br/>
              <w:t>Se da un plazo estimado de 15 días hábiles a las entidades y /o dirección a cargo de la intervención para que realicen el diligenciamiento de la ficha. Se debe realizar seguimiento permanente mediante el correo electrónico a las solicitudes de diligenciamiento de ficha con el propósito de asegurar que la intervención sea incluida en el cálculo del ahorro.</w:t>
            </w:r>
            <w:r w:rsidRPr="00C650E9">
              <w:rPr>
                <w:rFonts w:ascii="Verdana" w:hAnsi="Verdana" w:cs="Arial"/>
                <w:color w:val="000000"/>
                <w:sz w:val="16"/>
                <w:szCs w:val="16"/>
              </w:rPr>
              <w:br/>
              <w:t>Tiempo: Dentro de los quince (15) días hábiles siguientes a la fecha de solicitud de diligenciamiento de ficha</w:t>
            </w:r>
          </w:p>
        </w:tc>
        <w:tc>
          <w:tcPr>
            <w:tcW w:w="2833" w:type="dxa"/>
            <w:tcMar>
              <w:top w:w="57" w:type="dxa"/>
              <w:left w:w="113" w:type="dxa"/>
              <w:bottom w:w="57" w:type="dxa"/>
            </w:tcMar>
            <w:vAlign w:val="center"/>
          </w:tcPr>
          <w:p w14:paraId="2B05BBF1" w14:textId="79D365EA" w:rsidR="00DA19DE" w:rsidRPr="00C650E9" w:rsidRDefault="00CF5E13" w:rsidP="003033FD">
            <w:pPr>
              <w:spacing w:after="0" w:line="240" w:lineRule="auto"/>
              <w:jc w:val="center"/>
              <w:rPr>
                <w:rFonts w:ascii="Verdana" w:hAnsi="Verdana" w:cs="Arial"/>
                <w:sz w:val="16"/>
                <w:szCs w:val="16"/>
              </w:rPr>
            </w:pPr>
            <w:r w:rsidRPr="00C650E9">
              <w:rPr>
                <w:rFonts w:ascii="Verdana" w:hAnsi="Verdana" w:cs="Arial"/>
                <w:color w:val="000000"/>
                <w:sz w:val="16"/>
                <w:szCs w:val="16"/>
              </w:rPr>
              <w:t xml:space="preserve">Formato ficha descripción de intervención </w:t>
            </w:r>
            <w:r>
              <w:rPr>
                <w:rFonts w:ascii="Verdana" w:hAnsi="Verdana" w:cs="Arial"/>
                <w:color w:val="000000"/>
                <w:sz w:val="16"/>
                <w:szCs w:val="16"/>
              </w:rPr>
              <w:t xml:space="preserve">(DO-FM-010), </w:t>
            </w:r>
            <w:r w:rsidR="00C650E9" w:rsidRPr="00C650E9">
              <w:rPr>
                <w:rFonts w:ascii="Verdana" w:hAnsi="Verdana" w:cs="Arial"/>
                <w:color w:val="000000"/>
                <w:sz w:val="16"/>
                <w:szCs w:val="16"/>
              </w:rPr>
              <w:t>ABC de Barreras y Mejoras Normativas Correo Electrónico</w:t>
            </w:r>
          </w:p>
        </w:tc>
      </w:tr>
      <w:tr w:rsidR="00851992" w:rsidRPr="00C650E9" w14:paraId="59543128" w14:textId="77777777" w:rsidTr="00C650E9">
        <w:trPr>
          <w:trHeight w:val="17"/>
        </w:trPr>
        <w:tc>
          <w:tcPr>
            <w:tcW w:w="540" w:type="dxa"/>
            <w:tcMar>
              <w:top w:w="57" w:type="dxa"/>
              <w:left w:w="113" w:type="dxa"/>
              <w:bottom w:w="57" w:type="dxa"/>
            </w:tcMar>
            <w:vAlign w:val="center"/>
          </w:tcPr>
          <w:p w14:paraId="64DDAE3B" w14:textId="3185BF51" w:rsidR="00851992" w:rsidRPr="00C650E9" w:rsidRDefault="00970E8B" w:rsidP="003033FD">
            <w:pPr>
              <w:spacing w:after="0" w:line="240" w:lineRule="auto"/>
              <w:ind w:left="-142"/>
              <w:jc w:val="center"/>
              <w:rPr>
                <w:rFonts w:ascii="Verdana" w:hAnsi="Verdana" w:cs="Arial"/>
                <w:b/>
                <w:sz w:val="16"/>
                <w:szCs w:val="16"/>
              </w:rPr>
            </w:pPr>
            <w:r w:rsidRPr="00C650E9">
              <w:rPr>
                <w:rFonts w:ascii="Verdana" w:hAnsi="Verdana" w:cs="Arial"/>
                <w:b/>
                <w:sz w:val="16"/>
                <w:szCs w:val="16"/>
              </w:rPr>
              <w:t>3</w:t>
            </w:r>
          </w:p>
        </w:tc>
        <w:tc>
          <w:tcPr>
            <w:tcW w:w="1623" w:type="dxa"/>
            <w:tcMar>
              <w:top w:w="57" w:type="dxa"/>
              <w:left w:w="113" w:type="dxa"/>
              <w:bottom w:w="57" w:type="dxa"/>
            </w:tcMar>
            <w:vAlign w:val="center"/>
          </w:tcPr>
          <w:p w14:paraId="2771F489" w14:textId="4BB24E23" w:rsidR="00851992" w:rsidRPr="00C650E9" w:rsidRDefault="00C650E9" w:rsidP="007341F5">
            <w:pPr>
              <w:spacing w:after="0" w:line="240" w:lineRule="auto"/>
              <w:jc w:val="center"/>
              <w:rPr>
                <w:rFonts w:ascii="Verdana" w:hAnsi="Verdana" w:cs="Arial"/>
                <w:sz w:val="16"/>
                <w:szCs w:val="16"/>
              </w:rPr>
            </w:pPr>
            <w:r w:rsidRPr="00C650E9">
              <w:rPr>
                <w:rFonts w:ascii="Verdana" w:hAnsi="Verdana" w:cs="Arial"/>
                <w:color w:val="000000"/>
                <w:sz w:val="16"/>
                <w:szCs w:val="16"/>
              </w:rPr>
              <w:t>Revisar ficha e informar a la OEE</w:t>
            </w:r>
          </w:p>
        </w:tc>
        <w:tc>
          <w:tcPr>
            <w:tcW w:w="1973" w:type="dxa"/>
            <w:tcMar>
              <w:top w:w="57" w:type="dxa"/>
              <w:left w:w="113" w:type="dxa"/>
              <w:bottom w:w="57" w:type="dxa"/>
            </w:tcMar>
            <w:vAlign w:val="center"/>
          </w:tcPr>
          <w:p w14:paraId="085E5B1D" w14:textId="77777777" w:rsidR="00C650E9" w:rsidRPr="00C650E9" w:rsidRDefault="00C650E9" w:rsidP="00C650E9">
            <w:pPr>
              <w:rPr>
                <w:rFonts w:ascii="Verdana" w:hAnsi="Verdana" w:cs="Arial"/>
                <w:color w:val="000000"/>
                <w:sz w:val="16"/>
                <w:szCs w:val="16"/>
              </w:rPr>
            </w:pPr>
            <w:r w:rsidRPr="00C650E9">
              <w:rPr>
                <w:rFonts w:ascii="Verdana" w:hAnsi="Verdana" w:cs="Arial"/>
                <w:color w:val="000000"/>
                <w:sz w:val="16"/>
                <w:szCs w:val="16"/>
              </w:rPr>
              <w:br/>
              <w:t>Equipo ESCA</w:t>
            </w:r>
          </w:p>
          <w:p w14:paraId="59BF0336" w14:textId="02C0CFB5" w:rsidR="00851992" w:rsidRPr="00C650E9" w:rsidRDefault="00851992" w:rsidP="003033FD">
            <w:pPr>
              <w:spacing w:after="0" w:line="240" w:lineRule="auto"/>
              <w:rPr>
                <w:rFonts w:ascii="Verdana" w:hAnsi="Verdana" w:cs="Arial"/>
                <w:sz w:val="16"/>
                <w:szCs w:val="16"/>
              </w:rPr>
            </w:pPr>
          </w:p>
        </w:tc>
        <w:tc>
          <w:tcPr>
            <w:tcW w:w="3799" w:type="dxa"/>
            <w:tcMar>
              <w:top w:w="57" w:type="dxa"/>
              <w:left w:w="113" w:type="dxa"/>
              <w:bottom w:w="57" w:type="dxa"/>
            </w:tcMar>
          </w:tcPr>
          <w:p w14:paraId="0FEB077C" w14:textId="3F9F29F1" w:rsidR="00851992" w:rsidRPr="00C650E9" w:rsidRDefault="00C650E9" w:rsidP="00C650E9">
            <w:pPr>
              <w:rPr>
                <w:rFonts w:ascii="Verdana" w:hAnsi="Verdana" w:cs="Arial"/>
                <w:color w:val="000000"/>
                <w:sz w:val="16"/>
                <w:szCs w:val="16"/>
              </w:rPr>
            </w:pPr>
            <w:r w:rsidRPr="00C650E9">
              <w:rPr>
                <w:rFonts w:ascii="Verdana" w:hAnsi="Verdana" w:cs="Arial"/>
                <w:color w:val="000000"/>
                <w:sz w:val="16"/>
                <w:szCs w:val="16"/>
              </w:rPr>
              <w:br/>
              <w:t>Cada vez que se recibe una ficha de intervención diligenciada, se revisa que la información solicitada esté completa y tenga coherencia con el tipo de intervención y no se encuentre duplicada en la base de datos. Una vez se realice la revisión, se notifica a la OEE por correo electrónico que se encuentra cargada una ficha de intervención nueva para completar campos adicionales en la base datos necesarios para el análisis de la estrategia.</w:t>
            </w:r>
            <w:r w:rsidRPr="00C650E9">
              <w:rPr>
                <w:rFonts w:ascii="Verdana" w:hAnsi="Verdana" w:cs="Arial"/>
                <w:color w:val="000000"/>
                <w:sz w:val="16"/>
                <w:szCs w:val="16"/>
              </w:rPr>
              <w:br/>
              <w:t xml:space="preserve">El último día del mes se remite un correo electrónico a la OEE indicando el número </w:t>
            </w:r>
            <w:r w:rsidRPr="00C650E9">
              <w:rPr>
                <w:rFonts w:ascii="Verdana" w:hAnsi="Verdana" w:cs="Arial"/>
                <w:color w:val="000000"/>
                <w:sz w:val="16"/>
                <w:szCs w:val="16"/>
              </w:rPr>
              <w:lastRenderedPageBreak/>
              <w:t>de fichas de intervenciones recibidas por parte de las entidades y/o direcciones, para que sean revisadas en el aplicativo ESCA.</w:t>
            </w:r>
            <w:r w:rsidRPr="00C650E9">
              <w:rPr>
                <w:rFonts w:ascii="Verdana" w:hAnsi="Verdana" w:cs="Arial"/>
                <w:color w:val="000000"/>
                <w:sz w:val="16"/>
                <w:szCs w:val="16"/>
              </w:rPr>
              <w:br/>
              <w:t>Periodicidad: Cada vez que se reciba una ficha diligenciada y el último día del mes.</w:t>
            </w:r>
          </w:p>
        </w:tc>
        <w:tc>
          <w:tcPr>
            <w:tcW w:w="2833" w:type="dxa"/>
            <w:tcMar>
              <w:top w:w="57" w:type="dxa"/>
              <w:left w:w="113" w:type="dxa"/>
              <w:bottom w:w="57" w:type="dxa"/>
            </w:tcMar>
            <w:vAlign w:val="center"/>
          </w:tcPr>
          <w:p w14:paraId="468AE3DB" w14:textId="3FD0CF8B" w:rsidR="00851992" w:rsidRPr="00C650E9" w:rsidRDefault="00C650E9" w:rsidP="003033FD">
            <w:pPr>
              <w:spacing w:after="0" w:line="240" w:lineRule="auto"/>
              <w:jc w:val="center"/>
              <w:rPr>
                <w:rFonts w:ascii="Verdana" w:hAnsi="Verdana" w:cs="Arial"/>
                <w:sz w:val="16"/>
                <w:szCs w:val="16"/>
              </w:rPr>
            </w:pPr>
            <w:r w:rsidRPr="00C650E9">
              <w:rPr>
                <w:rFonts w:ascii="Verdana" w:hAnsi="Verdana" w:cs="Arial"/>
                <w:color w:val="000000"/>
                <w:sz w:val="16"/>
                <w:szCs w:val="16"/>
              </w:rPr>
              <w:lastRenderedPageBreak/>
              <w:t xml:space="preserve">Formato ficha descripción de intervención </w:t>
            </w:r>
            <w:r w:rsidR="00CF5E13">
              <w:rPr>
                <w:rFonts w:ascii="Verdana" w:hAnsi="Verdana" w:cs="Arial"/>
                <w:color w:val="000000"/>
                <w:sz w:val="16"/>
                <w:szCs w:val="16"/>
              </w:rPr>
              <w:t xml:space="preserve">(DO-FM-010), </w:t>
            </w:r>
            <w:r w:rsidRPr="00C650E9">
              <w:rPr>
                <w:rFonts w:ascii="Verdana" w:hAnsi="Verdana" w:cs="Arial"/>
                <w:color w:val="000000"/>
                <w:sz w:val="16"/>
                <w:szCs w:val="16"/>
              </w:rPr>
              <w:t>Correo Electrónico</w:t>
            </w:r>
          </w:p>
        </w:tc>
      </w:tr>
      <w:tr w:rsidR="00851992" w:rsidRPr="00C650E9" w14:paraId="0302327A" w14:textId="77777777" w:rsidTr="00C650E9">
        <w:trPr>
          <w:trHeight w:val="17"/>
        </w:trPr>
        <w:tc>
          <w:tcPr>
            <w:tcW w:w="540" w:type="dxa"/>
            <w:tcMar>
              <w:top w:w="57" w:type="dxa"/>
              <w:left w:w="113" w:type="dxa"/>
              <w:bottom w:w="57" w:type="dxa"/>
            </w:tcMar>
            <w:vAlign w:val="center"/>
          </w:tcPr>
          <w:p w14:paraId="6F62E092" w14:textId="730944FD" w:rsidR="00851992" w:rsidRPr="00C650E9" w:rsidRDefault="00970E8B" w:rsidP="003033FD">
            <w:pPr>
              <w:spacing w:after="0" w:line="240" w:lineRule="auto"/>
              <w:ind w:left="-142"/>
              <w:jc w:val="center"/>
              <w:rPr>
                <w:rFonts w:ascii="Verdana" w:hAnsi="Verdana" w:cs="Arial"/>
                <w:b/>
                <w:sz w:val="16"/>
                <w:szCs w:val="16"/>
              </w:rPr>
            </w:pPr>
            <w:r w:rsidRPr="00C650E9">
              <w:rPr>
                <w:rFonts w:ascii="Verdana" w:hAnsi="Verdana" w:cs="Arial"/>
                <w:b/>
                <w:sz w:val="16"/>
                <w:szCs w:val="16"/>
              </w:rPr>
              <w:t>4</w:t>
            </w:r>
          </w:p>
        </w:tc>
        <w:tc>
          <w:tcPr>
            <w:tcW w:w="1623" w:type="dxa"/>
            <w:tcMar>
              <w:top w:w="57" w:type="dxa"/>
              <w:left w:w="113" w:type="dxa"/>
              <w:bottom w:w="57" w:type="dxa"/>
            </w:tcMar>
            <w:vAlign w:val="center"/>
          </w:tcPr>
          <w:p w14:paraId="3F4E2E06" w14:textId="775CE35E" w:rsidR="00851992" w:rsidRPr="00C650E9" w:rsidRDefault="00C650E9" w:rsidP="005A3044">
            <w:pPr>
              <w:jc w:val="center"/>
              <w:rPr>
                <w:rFonts w:ascii="Verdana" w:hAnsi="Verdana" w:cs="Arial"/>
                <w:color w:val="000000"/>
                <w:sz w:val="16"/>
                <w:szCs w:val="16"/>
              </w:rPr>
            </w:pPr>
            <w:r w:rsidRPr="00C650E9">
              <w:rPr>
                <w:rFonts w:ascii="Verdana" w:hAnsi="Verdana" w:cs="Arial"/>
                <w:color w:val="000000"/>
                <w:sz w:val="16"/>
                <w:szCs w:val="16"/>
              </w:rPr>
              <w:t>Consolidar los reportes de las intervenciones</w:t>
            </w:r>
          </w:p>
        </w:tc>
        <w:tc>
          <w:tcPr>
            <w:tcW w:w="1973" w:type="dxa"/>
            <w:tcMar>
              <w:top w:w="57" w:type="dxa"/>
              <w:left w:w="113" w:type="dxa"/>
              <w:bottom w:w="57" w:type="dxa"/>
            </w:tcMar>
            <w:vAlign w:val="center"/>
          </w:tcPr>
          <w:p w14:paraId="35486A7B" w14:textId="24D39695" w:rsidR="00851992" w:rsidRPr="00C650E9" w:rsidRDefault="00C650E9" w:rsidP="003033FD">
            <w:pPr>
              <w:spacing w:after="0" w:line="240" w:lineRule="auto"/>
              <w:rPr>
                <w:rFonts w:ascii="Verdana" w:hAnsi="Verdana" w:cs="Arial"/>
                <w:sz w:val="16"/>
                <w:szCs w:val="16"/>
              </w:rPr>
            </w:pPr>
            <w:r w:rsidRPr="00C650E9">
              <w:rPr>
                <w:rFonts w:ascii="Verdana" w:hAnsi="Verdana" w:cs="Arial"/>
                <w:color w:val="000000"/>
                <w:sz w:val="16"/>
                <w:szCs w:val="16"/>
              </w:rPr>
              <w:t>Jefe Oficina de Estudios Económicos.</w:t>
            </w:r>
          </w:p>
        </w:tc>
        <w:tc>
          <w:tcPr>
            <w:tcW w:w="3799" w:type="dxa"/>
            <w:tcMar>
              <w:top w:w="57" w:type="dxa"/>
              <w:left w:w="113" w:type="dxa"/>
              <w:bottom w:w="57" w:type="dxa"/>
            </w:tcMar>
          </w:tcPr>
          <w:p w14:paraId="3629C368" w14:textId="3A7ABEFE" w:rsidR="00851992" w:rsidRPr="00C650E9" w:rsidRDefault="00C650E9" w:rsidP="00C650E9">
            <w:pPr>
              <w:spacing w:after="0" w:line="240" w:lineRule="auto"/>
              <w:jc w:val="both"/>
              <w:rPr>
                <w:rFonts w:ascii="Verdana" w:hAnsi="Verdana" w:cs="Arial"/>
                <w:sz w:val="16"/>
                <w:szCs w:val="16"/>
              </w:rPr>
            </w:pPr>
            <w:r w:rsidRPr="00C650E9">
              <w:rPr>
                <w:rFonts w:ascii="Verdana" w:hAnsi="Verdana" w:cs="Arial"/>
                <w:color w:val="000000"/>
                <w:sz w:val="16"/>
                <w:szCs w:val="16"/>
              </w:rPr>
              <w:t>Durante los primeros 8 días hábiles del mes siguiente, la Oficina de Estudios Económicos consolida y revisa las fichas de intervenciones de barreras y normas, y se completan manualmente los campos de: "tipo de intervención", "fuente de información" "Sector administrativo ESCA", y "Tipo de entidad", "acto administrativo" "año", "mes" "orden ESCA" y el "tipo de beneficio". Así mismo se ajustan los nombres de las entidades para que queden homogéneas.</w:t>
            </w:r>
            <w:r w:rsidRPr="00C650E9">
              <w:rPr>
                <w:rFonts w:ascii="Verdana" w:hAnsi="Verdana" w:cs="Arial"/>
                <w:color w:val="000000"/>
                <w:sz w:val="16"/>
                <w:szCs w:val="16"/>
              </w:rPr>
              <w:br/>
              <w:t>Se descarga una copia de la base única con el fin de ajustar valores atípicos y para ejecutar la programación en el paquete estadístico STATA y calcular los ahorros en barreras y normas, el cual está fundamentado en la metodología para el cálculo del ahorro al usuario por intervención de barreras y normas.</w:t>
            </w:r>
            <w:r w:rsidRPr="00C650E9">
              <w:rPr>
                <w:rFonts w:ascii="Verdana" w:hAnsi="Verdana" w:cs="Arial"/>
                <w:color w:val="000000"/>
                <w:sz w:val="16"/>
                <w:szCs w:val="16"/>
              </w:rPr>
              <w:br/>
              <w:t>Periodicidad: Por lo menos una vez al mes.</w:t>
            </w:r>
          </w:p>
        </w:tc>
        <w:tc>
          <w:tcPr>
            <w:tcW w:w="2833" w:type="dxa"/>
            <w:tcMar>
              <w:top w:w="57" w:type="dxa"/>
              <w:left w:w="113" w:type="dxa"/>
              <w:bottom w:w="57" w:type="dxa"/>
            </w:tcMar>
            <w:vAlign w:val="center"/>
          </w:tcPr>
          <w:p w14:paraId="7B3A34A2" w14:textId="300435BB" w:rsidR="00851992" w:rsidRPr="00C650E9" w:rsidRDefault="00CF5E13" w:rsidP="003033FD">
            <w:pPr>
              <w:spacing w:after="0" w:line="240" w:lineRule="auto"/>
              <w:jc w:val="center"/>
              <w:rPr>
                <w:rFonts w:ascii="Verdana" w:hAnsi="Verdana" w:cs="Arial"/>
                <w:sz w:val="16"/>
                <w:szCs w:val="16"/>
              </w:rPr>
            </w:pPr>
            <w:r w:rsidRPr="00C650E9">
              <w:rPr>
                <w:rFonts w:ascii="Verdana" w:hAnsi="Verdana" w:cs="Arial"/>
                <w:color w:val="000000"/>
                <w:sz w:val="16"/>
                <w:szCs w:val="16"/>
              </w:rPr>
              <w:t xml:space="preserve">Formato ficha descripción de intervención </w:t>
            </w:r>
            <w:r>
              <w:rPr>
                <w:rFonts w:ascii="Verdana" w:hAnsi="Verdana" w:cs="Arial"/>
                <w:color w:val="000000"/>
                <w:sz w:val="16"/>
                <w:szCs w:val="16"/>
              </w:rPr>
              <w:t xml:space="preserve">(DO-FM-010), </w:t>
            </w:r>
            <w:r w:rsidR="00C650E9" w:rsidRPr="00C650E9">
              <w:rPr>
                <w:rFonts w:ascii="Verdana" w:hAnsi="Verdana" w:cs="Arial"/>
                <w:color w:val="000000"/>
                <w:sz w:val="16"/>
                <w:szCs w:val="16"/>
              </w:rPr>
              <w:t>Base de datos única ESCA Documento metodológico para el cálculo del ahorro al usuario por intervención de barreras y normas Archivo .do STATA</w:t>
            </w:r>
          </w:p>
        </w:tc>
      </w:tr>
      <w:tr w:rsidR="00851992" w:rsidRPr="00C650E9" w14:paraId="3D1A3EAA" w14:textId="77777777" w:rsidTr="00C650E9">
        <w:trPr>
          <w:trHeight w:val="17"/>
        </w:trPr>
        <w:tc>
          <w:tcPr>
            <w:tcW w:w="540" w:type="dxa"/>
            <w:tcMar>
              <w:top w:w="57" w:type="dxa"/>
              <w:left w:w="113" w:type="dxa"/>
              <w:bottom w:w="57" w:type="dxa"/>
            </w:tcMar>
            <w:vAlign w:val="center"/>
          </w:tcPr>
          <w:p w14:paraId="49120E2B" w14:textId="45A89173" w:rsidR="00851992" w:rsidRPr="00C650E9" w:rsidRDefault="00970E8B" w:rsidP="003033FD">
            <w:pPr>
              <w:spacing w:after="0" w:line="240" w:lineRule="auto"/>
              <w:ind w:left="-142"/>
              <w:jc w:val="center"/>
              <w:rPr>
                <w:rFonts w:ascii="Verdana" w:hAnsi="Verdana" w:cs="Arial"/>
                <w:b/>
                <w:sz w:val="16"/>
                <w:szCs w:val="16"/>
              </w:rPr>
            </w:pPr>
            <w:r w:rsidRPr="00C650E9">
              <w:rPr>
                <w:rFonts w:ascii="Verdana" w:hAnsi="Verdana" w:cs="Arial"/>
                <w:b/>
                <w:sz w:val="16"/>
                <w:szCs w:val="16"/>
              </w:rPr>
              <w:t>5</w:t>
            </w:r>
          </w:p>
        </w:tc>
        <w:tc>
          <w:tcPr>
            <w:tcW w:w="1623" w:type="dxa"/>
            <w:tcMar>
              <w:top w:w="57" w:type="dxa"/>
              <w:left w:w="113" w:type="dxa"/>
              <w:bottom w:w="57" w:type="dxa"/>
            </w:tcMar>
            <w:vAlign w:val="center"/>
          </w:tcPr>
          <w:p w14:paraId="54B66787" w14:textId="0157D9D3" w:rsidR="00851992" w:rsidRPr="00C650E9" w:rsidRDefault="00C650E9" w:rsidP="007341F5">
            <w:pPr>
              <w:spacing w:after="0" w:line="240" w:lineRule="auto"/>
              <w:jc w:val="center"/>
              <w:rPr>
                <w:rFonts w:ascii="Verdana" w:hAnsi="Verdana" w:cs="Arial"/>
                <w:sz w:val="16"/>
                <w:szCs w:val="16"/>
              </w:rPr>
            </w:pPr>
            <w:r w:rsidRPr="00C650E9">
              <w:rPr>
                <w:rFonts w:ascii="Verdana" w:hAnsi="Verdana" w:cs="Arial"/>
                <w:color w:val="000000"/>
                <w:sz w:val="16"/>
                <w:szCs w:val="16"/>
              </w:rPr>
              <w:t>Consolidar base de datos única de ESCA</w:t>
            </w:r>
          </w:p>
        </w:tc>
        <w:tc>
          <w:tcPr>
            <w:tcW w:w="1973" w:type="dxa"/>
            <w:tcMar>
              <w:top w:w="57" w:type="dxa"/>
              <w:left w:w="113" w:type="dxa"/>
              <w:bottom w:w="57" w:type="dxa"/>
            </w:tcMar>
            <w:vAlign w:val="center"/>
          </w:tcPr>
          <w:p w14:paraId="74AE9310" w14:textId="08DAAEA9" w:rsidR="00851992" w:rsidRPr="00C650E9" w:rsidRDefault="00C650E9" w:rsidP="003033FD">
            <w:pPr>
              <w:spacing w:after="0" w:line="240" w:lineRule="auto"/>
              <w:rPr>
                <w:rFonts w:ascii="Verdana" w:hAnsi="Verdana" w:cs="Arial"/>
                <w:sz w:val="16"/>
                <w:szCs w:val="16"/>
              </w:rPr>
            </w:pPr>
            <w:r w:rsidRPr="00C650E9">
              <w:rPr>
                <w:rFonts w:ascii="Verdana" w:hAnsi="Verdana" w:cs="Arial"/>
                <w:color w:val="000000"/>
                <w:sz w:val="16"/>
                <w:szCs w:val="16"/>
              </w:rPr>
              <w:t>Equipo ESCA, Jefe Oficina de Estudios Económicos.</w:t>
            </w:r>
          </w:p>
        </w:tc>
        <w:tc>
          <w:tcPr>
            <w:tcW w:w="3799" w:type="dxa"/>
            <w:tcMar>
              <w:top w:w="57" w:type="dxa"/>
              <w:left w:w="113" w:type="dxa"/>
              <w:bottom w:w="57" w:type="dxa"/>
            </w:tcMar>
          </w:tcPr>
          <w:p w14:paraId="684CB1AA" w14:textId="30ECE47F" w:rsidR="00851992" w:rsidRPr="00C650E9" w:rsidRDefault="00C650E9" w:rsidP="00A76CDB">
            <w:pPr>
              <w:jc w:val="both"/>
              <w:rPr>
                <w:rFonts w:ascii="Verdana" w:hAnsi="Verdana" w:cs="Arial"/>
                <w:color w:val="000000"/>
                <w:sz w:val="16"/>
                <w:szCs w:val="16"/>
              </w:rPr>
            </w:pPr>
            <w:r w:rsidRPr="00C650E9">
              <w:rPr>
                <w:rFonts w:ascii="Verdana" w:hAnsi="Verdana" w:cs="Arial"/>
                <w:color w:val="000000"/>
                <w:sz w:val="16"/>
                <w:szCs w:val="16"/>
              </w:rPr>
              <w:t>Durante la primera semana del mes el equipo ESCA recibe la base de datos de racionalización de trámites en Excel que genera el Sistema Único de Información de Trámites, la cual se envía mediante correo electrónico a la OEE para consolidarla en la base de datos única de la estrategia ESCA.</w:t>
            </w:r>
            <w:r w:rsidRPr="00C650E9">
              <w:rPr>
                <w:rFonts w:ascii="Verdana" w:hAnsi="Verdana" w:cs="Arial"/>
                <w:color w:val="000000"/>
                <w:sz w:val="16"/>
                <w:szCs w:val="16"/>
              </w:rPr>
              <w:br/>
              <w:t>La OEE realiza la revisión de la base de datos y completa manualmente para los datos de trámites los campos de: "Sector administrativo ESCA", y "Tipo de entidad" y ajusta los campos: "orden ESCA", "departamento ESCA", "municipio ESCA", y nombres de las entidades para que queden homogéneas.</w:t>
            </w:r>
            <w:r w:rsidRPr="00C650E9">
              <w:rPr>
                <w:rFonts w:ascii="Verdana" w:hAnsi="Verdana" w:cs="Arial"/>
                <w:color w:val="000000"/>
                <w:sz w:val="16"/>
                <w:szCs w:val="16"/>
              </w:rPr>
              <w:br/>
              <w:t>Periodicidad: Por lo menos una vez al mes.</w:t>
            </w:r>
          </w:p>
        </w:tc>
        <w:tc>
          <w:tcPr>
            <w:tcW w:w="2833" w:type="dxa"/>
            <w:tcMar>
              <w:top w:w="57" w:type="dxa"/>
              <w:left w:w="113" w:type="dxa"/>
              <w:bottom w:w="57" w:type="dxa"/>
            </w:tcMar>
            <w:vAlign w:val="center"/>
          </w:tcPr>
          <w:p w14:paraId="6148B37A" w14:textId="4E04AEA3" w:rsidR="00851992" w:rsidRPr="00C650E9" w:rsidRDefault="00C650E9" w:rsidP="003033FD">
            <w:pPr>
              <w:spacing w:after="0" w:line="240" w:lineRule="auto"/>
              <w:jc w:val="center"/>
              <w:rPr>
                <w:rFonts w:ascii="Verdana" w:hAnsi="Verdana" w:cs="Arial"/>
                <w:sz w:val="16"/>
                <w:szCs w:val="16"/>
              </w:rPr>
            </w:pPr>
            <w:r w:rsidRPr="00C650E9">
              <w:rPr>
                <w:rFonts w:ascii="Verdana" w:hAnsi="Verdana" w:cs="Arial"/>
                <w:color w:val="000000"/>
                <w:sz w:val="16"/>
                <w:szCs w:val="16"/>
              </w:rPr>
              <w:t>Base de datos única ESCA</w:t>
            </w:r>
          </w:p>
        </w:tc>
      </w:tr>
      <w:tr w:rsidR="00851992" w:rsidRPr="00C650E9" w14:paraId="30D6DC68" w14:textId="77777777" w:rsidTr="00C650E9">
        <w:trPr>
          <w:trHeight w:val="17"/>
        </w:trPr>
        <w:tc>
          <w:tcPr>
            <w:tcW w:w="540" w:type="dxa"/>
            <w:tcMar>
              <w:top w:w="57" w:type="dxa"/>
              <w:left w:w="113" w:type="dxa"/>
              <w:bottom w:w="57" w:type="dxa"/>
            </w:tcMar>
            <w:vAlign w:val="center"/>
          </w:tcPr>
          <w:p w14:paraId="2F11E41F" w14:textId="6EE0C636" w:rsidR="00851992" w:rsidRPr="00C650E9" w:rsidRDefault="00970E8B" w:rsidP="003033FD">
            <w:pPr>
              <w:spacing w:after="0" w:line="240" w:lineRule="auto"/>
              <w:ind w:left="-142"/>
              <w:jc w:val="center"/>
              <w:rPr>
                <w:rFonts w:ascii="Verdana" w:hAnsi="Verdana" w:cs="Arial"/>
                <w:b/>
                <w:sz w:val="16"/>
                <w:szCs w:val="16"/>
              </w:rPr>
            </w:pPr>
            <w:r w:rsidRPr="00C650E9">
              <w:rPr>
                <w:rFonts w:ascii="Verdana" w:hAnsi="Verdana" w:cs="Arial"/>
                <w:b/>
                <w:sz w:val="16"/>
                <w:szCs w:val="16"/>
              </w:rPr>
              <w:t>6</w:t>
            </w:r>
          </w:p>
        </w:tc>
        <w:tc>
          <w:tcPr>
            <w:tcW w:w="1623" w:type="dxa"/>
            <w:tcMar>
              <w:top w:w="57" w:type="dxa"/>
              <w:left w:w="113" w:type="dxa"/>
              <w:bottom w:w="57" w:type="dxa"/>
            </w:tcMar>
            <w:vAlign w:val="center"/>
          </w:tcPr>
          <w:p w14:paraId="5C6932E1" w14:textId="0A3C5D38" w:rsidR="00851992" w:rsidRPr="00C650E9" w:rsidRDefault="00C650E9" w:rsidP="007341F5">
            <w:pPr>
              <w:spacing w:after="0" w:line="240" w:lineRule="auto"/>
              <w:jc w:val="center"/>
              <w:rPr>
                <w:rFonts w:ascii="Verdana" w:hAnsi="Verdana" w:cs="Arial"/>
                <w:sz w:val="16"/>
                <w:szCs w:val="16"/>
              </w:rPr>
            </w:pPr>
            <w:r w:rsidRPr="00C650E9">
              <w:rPr>
                <w:rFonts w:ascii="Verdana" w:hAnsi="Verdana" w:cs="Arial"/>
                <w:color w:val="000000"/>
                <w:sz w:val="16"/>
                <w:szCs w:val="16"/>
              </w:rPr>
              <w:t>Generar informe mensual de resultados de la estrategia ESCA</w:t>
            </w:r>
          </w:p>
        </w:tc>
        <w:tc>
          <w:tcPr>
            <w:tcW w:w="1973" w:type="dxa"/>
            <w:tcMar>
              <w:top w:w="57" w:type="dxa"/>
              <w:left w:w="113" w:type="dxa"/>
              <w:bottom w:w="57" w:type="dxa"/>
            </w:tcMar>
            <w:vAlign w:val="center"/>
          </w:tcPr>
          <w:p w14:paraId="4AD1D5BA" w14:textId="0A628079" w:rsidR="00851992" w:rsidRPr="00C650E9" w:rsidRDefault="00C650E9" w:rsidP="003033FD">
            <w:pPr>
              <w:spacing w:after="0" w:line="240" w:lineRule="auto"/>
              <w:rPr>
                <w:rFonts w:ascii="Verdana" w:hAnsi="Verdana" w:cs="Arial"/>
                <w:sz w:val="16"/>
                <w:szCs w:val="16"/>
              </w:rPr>
            </w:pPr>
            <w:r w:rsidRPr="00C650E9">
              <w:rPr>
                <w:rFonts w:ascii="Verdana" w:hAnsi="Verdana" w:cs="Arial"/>
                <w:color w:val="000000"/>
                <w:sz w:val="16"/>
                <w:szCs w:val="16"/>
              </w:rPr>
              <w:t>Jefe Oficina de Estudios Económicos.</w:t>
            </w:r>
          </w:p>
        </w:tc>
        <w:tc>
          <w:tcPr>
            <w:tcW w:w="3799" w:type="dxa"/>
            <w:tcMar>
              <w:top w:w="57" w:type="dxa"/>
              <w:left w:w="113" w:type="dxa"/>
              <w:bottom w:w="57" w:type="dxa"/>
            </w:tcMar>
          </w:tcPr>
          <w:p w14:paraId="6F01214D" w14:textId="62D383AA" w:rsidR="00851992" w:rsidRPr="00C650E9" w:rsidRDefault="00C650E9" w:rsidP="00AD5DB2">
            <w:pPr>
              <w:spacing w:after="0" w:line="240" w:lineRule="auto"/>
              <w:rPr>
                <w:rFonts w:ascii="Verdana" w:hAnsi="Verdana" w:cs="Arial"/>
                <w:sz w:val="16"/>
                <w:szCs w:val="16"/>
              </w:rPr>
            </w:pPr>
            <w:r w:rsidRPr="00C650E9">
              <w:rPr>
                <w:rFonts w:ascii="Verdana" w:hAnsi="Verdana" w:cs="Arial"/>
                <w:color w:val="000000"/>
                <w:sz w:val="16"/>
                <w:szCs w:val="16"/>
              </w:rPr>
              <w:t xml:space="preserve">Una vez se completa la base Única de ESCA, se genera el informe mensual de resultados de la estrategia ESCA, el cual debe contener las cifras desagregadas de las intervenciones por cada una de las variables de interés. Este informe es validado por el Jefe de la OEE y enviando mediante correo electrónico al equipo ESCA, para validación del Director de </w:t>
            </w:r>
            <w:r w:rsidRPr="00C650E9">
              <w:rPr>
                <w:rFonts w:ascii="Verdana" w:hAnsi="Verdana" w:cs="Arial"/>
                <w:color w:val="000000"/>
                <w:sz w:val="16"/>
                <w:szCs w:val="16"/>
              </w:rPr>
              <w:lastRenderedPageBreak/>
              <w:t>Regulación.</w:t>
            </w:r>
            <w:r w:rsidRPr="00C650E9">
              <w:rPr>
                <w:rFonts w:ascii="Verdana" w:hAnsi="Verdana" w:cs="Arial"/>
                <w:color w:val="000000"/>
                <w:sz w:val="16"/>
                <w:szCs w:val="16"/>
              </w:rPr>
              <w:br/>
              <w:t>Periodicidad: Al menos una vez al mes.</w:t>
            </w:r>
          </w:p>
        </w:tc>
        <w:tc>
          <w:tcPr>
            <w:tcW w:w="2833" w:type="dxa"/>
            <w:tcMar>
              <w:top w:w="57" w:type="dxa"/>
              <w:left w:w="113" w:type="dxa"/>
              <w:bottom w:w="57" w:type="dxa"/>
            </w:tcMar>
            <w:vAlign w:val="center"/>
          </w:tcPr>
          <w:p w14:paraId="196773EC" w14:textId="01F676F1" w:rsidR="00851992" w:rsidRPr="00C650E9" w:rsidRDefault="00C650E9" w:rsidP="003033FD">
            <w:pPr>
              <w:spacing w:after="0" w:line="240" w:lineRule="auto"/>
              <w:jc w:val="center"/>
              <w:rPr>
                <w:rFonts w:ascii="Verdana" w:hAnsi="Verdana" w:cs="Arial"/>
                <w:sz w:val="16"/>
                <w:szCs w:val="16"/>
              </w:rPr>
            </w:pPr>
            <w:r w:rsidRPr="00C650E9">
              <w:rPr>
                <w:rFonts w:ascii="Verdana" w:hAnsi="Verdana" w:cs="Arial"/>
                <w:color w:val="000000"/>
                <w:sz w:val="16"/>
                <w:szCs w:val="16"/>
              </w:rPr>
              <w:lastRenderedPageBreak/>
              <w:t>Base de datos única ESCA Informe de resultados Estrategia ESCA</w:t>
            </w:r>
          </w:p>
        </w:tc>
      </w:tr>
      <w:tr w:rsidR="00E93440" w:rsidRPr="00C650E9" w14:paraId="0BF65009" w14:textId="77777777" w:rsidTr="00C650E9">
        <w:trPr>
          <w:trHeight w:val="17"/>
        </w:trPr>
        <w:tc>
          <w:tcPr>
            <w:tcW w:w="540" w:type="dxa"/>
            <w:tcMar>
              <w:top w:w="57" w:type="dxa"/>
              <w:left w:w="113" w:type="dxa"/>
              <w:bottom w:w="57" w:type="dxa"/>
            </w:tcMar>
            <w:vAlign w:val="center"/>
          </w:tcPr>
          <w:p w14:paraId="212D96C6" w14:textId="4020F2DD" w:rsidR="00E93440" w:rsidRPr="00C650E9" w:rsidRDefault="00970E8B" w:rsidP="003033FD">
            <w:pPr>
              <w:spacing w:after="0" w:line="240" w:lineRule="auto"/>
              <w:ind w:left="-142"/>
              <w:jc w:val="center"/>
              <w:rPr>
                <w:rFonts w:ascii="Verdana" w:hAnsi="Verdana" w:cs="Arial"/>
                <w:b/>
                <w:sz w:val="16"/>
                <w:szCs w:val="16"/>
              </w:rPr>
            </w:pPr>
            <w:r w:rsidRPr="00C650E9">
              <w:rPr>
                <w:rFonts w:ascii="Verdana" w:hAnsi="Verdana" w:cs="Arial"/>
                <w:b/>
                <w:sz w:val="16"/>
                <w:szCs w:val="16"/>
              </w:rPr>
              <w:t>7</w:t>
            </w:r>
          </w:p>
        </w:tc>
        <w:tc>
          <w:tcPr>
            <w:tcW w:w="1623" w:type="dxa"/>
            <w:tcMar>
              <w:top w:w="57" w:type="dxa"/>
              <w:left w:w="113" w:type="dxa"/>
              <w:bottom w:w="57" w:type="dxa"/>
            </w:tcMar>
            <w:vAlign w:val="center"/>
          </w:tcPr>
          <w:p w14:paraId="6CFE009F" w14:textId="44E1FF2B" w:rsidR="00E93440" w:rsidRPr="00C650E9" w:rsidRDefault="00C650E9" w:rsidP="007341F5">
            <w:pPr>
              <w:spacing w:after="0" w:line="240" w:lineRule="auto"/>
              <w:jc w:val="center"/>
              <w:rPr>
                <w:rFonts w:ascii="Verdana" w:hAnsi="Verdana" w:cs="Arial"/>
                <w:sz w:val="16"/>
                <w:szCs w:val="16"/>
              </w:rPr>
            </w:pPr>
            <w:r w:rsidRPr="00C650E9">
              <w:rPr>
                <w:rFonts w:ascii="Verdana" w:hAnsi="Verdana" w:cs="Arial"/>
                <w:color w:val="000000"/>
                <w:sz w:val="16"/>
                <w:szCs w:val="16"/>
              </w:rPr>
              <w:t>Publicar cifras de ahorro. Mensual- trimestral</w:t>
            </w:r>
          </w:p>
        </w:tc>
        <w:tc>
          <w:tcPr>
            <w:tcW w:w="1973" w:type="dxa"/>
            <w:tcMar>
              <w:top w:w="57" w:type="dxa"/>
              <w:left w:w="113" w:type="dxa"/>
              <w:bottom w:w="57" w:type="dxa"/>
            </w:tcMar>
            <w:vAlign w:val="center"/>
          </w:tcPr>
          <w:p w14:paraId="676AB3AB" w14:textId="0C334164" w:rsidR="00E93440" w:rsidRPr="00C650E9" w:rsidRDefault="00C650E9" w:rsidP="003033FD">
            <w:pPr>
              <w:spacing w:after="0" w:line="240" w:lineRule="auto"/>
              <w:rPr>
                <w:rFonts w:ascii="Verdana" w:hAnsi="Verdana" w:cs="Arial"/>
                <w:sz w:val="16"/>
                <w:szCs w:val="16"/>
              </w:rPr>
            </w:pPr>
            <w:r w:rsidRPr="00C650E9">
              <w:rPr>
                <w:rFonts w:ascii="Verdana" w:hAnsi="Verdana" w:cs="Arial"/>
                <w:color w:val="000000"/>
                <w:sz w:val="16"/>
                <w:szCs w:val="16"/>
              </w:rPr>
              <w:t>Jefe Oficina de Estudios Económicos.</w:t>
            </w:r>
          </w:p>
        </w:tc>
        <w:tc>
          <w:tcPr>
            <w:tcW w:w="3799" w:type="dxa"/>
            <w:tcMar>
              <w:top w:w="57" w:type="dxa"/>
              <w:left w:w="113" w:type="dxa"/>
              <w:bottom w:w="57" w:type="dxa"/>
            </w:tcMar>
          </w:tcPr>
          <w:p w14:paraId="037B9425" w14:textId="5D08D665" w:rsidR="00585793" w:rsidRPr="00C650E9" w:rsidRDefault="00C650E9" w:rsidP="003033FD">
            <w:pPr>
              <w:spacing w:after="0" w:line="240" w:lineRule="auto"/>
              <w:jc w:val="both"/>
              <w:rPr>
                <w:rFonts w:ascii="Verdana" w:hAnsi="Verdana" w:cs="Arial"/>
                <w:b/>
                <w:bCs/>
                <w:sz w:val="16"/>
                <w:szCs w:val="16"/>
              </w:rPr>
            </w:pPr>
            <w:r w:rsidRPr="00C650E9">
              <w:rPr>
                <w:rFonts w:ascii="Verdana" w:hAnsi="Verdana" w:cs="Arial"/>
                <w:color w:val="000000"/>
                <w:sz w:val="16"/>
                <w:szCs w:val="16"/>
              </w:rPr>
              <w:t xml:space="preserve">Una vez el informe se encuentre validado por el Jefe de la OEE y el Director de Regulación, el equipo ESCA debe remitirlo a la Oficina de Comunicaciones </w:t>
            </w:r>
            <w:proofErr w:type="gramStart"/>
            <w:r w:rsidRPr="00C650E9">
              <w:rPr>
                <w:rFonts w:ascii="Verdana" w:hAnsi="Verdana" w:cs="Arial"/>
                <w:color w:val="000000"/>
                <w:sz w:val="16"/>
                <w:szCs w:val="16"/>
              </w:rPr>
              <w:t>conjuntamente con</w:t>
            </w:r>
            <w:proofErr w:type="gramEnd"/>
            <w:r w:rsidRPr="00C650E9">
              <w:rPr>
                <w:rFonts w:ascii="Verdana" w:hAnsi="Verdana" w:cs="Arial"/>
                <w:color w:val="000000"/>
                <w:sz w:val="16"/>
                <w:szCs w:val="16"/>
              </w:rPr>
              <w:t xml:space="preserve"> un resumen de los datos más relevantes de la gestión del mes, para actualizar los datos registrados en la página web https://www.colombiaagil.gov.co/ y generar un comunicado de prensa.</w:t>
            </w:r>
          </w:p>
        </w:tc>
        <w:tc>
          <w:tcPr>
            <w:tcW w:w="2833" w:type="dxa"/>
            <w:tcMar>
              <w:top w:w="57" w:type="dxa"/>
              <w:left w:w="113" w:type="dxa"/>
              <w:bottom w:w="57" w:type="dxa"/>
            </w:tcMar>
            <w:vAlign w:val="center"/>
          </w:tcPr>
          <w:p w14:paraId="36EF0DEF" w14:textId="125D02AA" w:rsidR="00E93440" w:rsidRPr="00C650E9" w:rsidRDefault="00C650E9" w:rsidP="003033FD">
            <w:pPr>
              <w:spacing w:after="0" w:line="240" w:lineRule="auto"/>
              <w:jc w:val="center"/>
              <w:rPr>
                <w:rFonts w:ascii="Verdana" w:hAnsi="Verdana" w:cs="Arial"/>
                <w:sz w:val="16"/>
                <w:szCs w:val="16"/>
              </w:rPr>
            </w:pPr>
            <w:r w:rsidRPr="00C650E9">
              <w:rPr>
                <w:rFonts w:ascii="Verdana" w:hAnsi="Verdana" w:cs="Arial"/>
                <w:color w:val="000000"/>
                <w:sz w:val="16"/>
                <w:szCs w:val="16"/>
              </w:rPr>
              <w:t>Página web https://www.colombiaagil.gov.co/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E1D02"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E1D02" w:rsidRDefault="001D0B5F" w:rsidP="00666AB9">
            <w:pPr>
              <w:spacing w:after="0" w:line="240" w:lineRule="auto"/>
              <w:jc w:val="center"/>
              <w:rPr>
                <w:rFonts w:ascii="Verdana" w:eastAsia="Arial" w:hAnsi="Verdana" w:cs="Arial"/>
                <w:color w:val="000000" w:themeColor="text1"/>
                <w:sz w:val="16"/>
                <w:szCs w:val="16"/>
              </w:rPr>
            </w:pPr>
            <w:r w:rsidRPr="006E1D02">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41F9A65A" w14:textId="12B67D39" w:rsidR="001D0B5F" w:rsidRPr="006E1D02" w:rsidRDefault="00B83D9F" w:rsidP="00666AB9">
            <w:pPr>
              <w:spacing w:after="0" w:line="240" w:lineRule="auto"/>
              <w:jc w:val="center"/>
              <w:rPr>
                <w:rFonts w:ascii="Verdana" w:eastAsia="Arial" w:hAnsi="Verdana" w:cs="Arial"/>
                <w:color w:val="000000" w:themeColor="text1"/>
                <w:sz w:val="16"/>
                <w:szCs w:val="16"/>
              </w:rPr>
            </w:pPr>
            <w:r w:rsidRPr="006E1D02">
              <w:rPr>
                <w:rFonts w:ascii="Verdana" w:eastAsia="Arial" w:hAnsi="Verdana" w:cs="Arial"/>
                <w:color w:val="000000" w:themeColor="text1"/>
                <w:sz w:val="16"/>
                <w:szCs w:val="16"/>
              </w:rPr>
              <w:t>DO-FM-010</w:t>
            </w:r>
          </w:p>
        </w:tc>
        <w:tc>
          <w:tcPr>
            <w:tcW w:w="7075" w:type="dxa"/>
            <w:tcMar>
              <w:top w:w="30" w:type="dxa"/>
              <w:left w:w="30" w:type="dxa"/>
              <w:bottom w:w="30" w:type="dxa"/>
              <w:right w:w="30" w:type="dxa"/>
            </w:tcMar>
            <w:vAlign w:val="center"/>
          </w:tcPr>
          <w:p w14:paraId="216F9BC5" w14:textId="19C73CFC" w:rsidR="001D0B5F" w:rsidRPr="006E1D02" w:rsidRDefault="00B83D9F" w:rsidP="00E031E5">
            <w:pPr>
              <w:spacing w:after="0" w:line="240" w:lineRule="auto"/>
              <w:rPr>
                <w:rFonts w:ascii="Verdana" w:eastAsia="Arial" w:hAnsi="Verdana" w:cs="Arial"/>
                <w:color w:val="000000" w:themeColor="text1"/>
                <w:sz w:val="16"/>
                <w:szCs w:val="16"/>
              </w:rPr>
            </w:pPr>
            <w:r w:rsidRPr="006E1D02">
              <w:rPr>
                <w:rFonts w:ascii="Verdana" w:eastAsia="Arial" w:hAnsi="Verdana" w:cs="Arial"/>
                <w:color w:val="000000" w:themeColor="text1"/>
                <w:sz w:val="16"/>
                <w:szCs w:val="16"/>
              </w:rPr>
              <w:t>Ficha descripción de intervención</w:t>
            </w:r>
          </w:p>
        </w:tc>
      </w:tr>
    </w:tbl>
    <w:p w14:paraId="0009A546" w14:textId="17F0D061" w:rsidR="172D2D76" w:rsidRPr="006E1D02"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1251475A" w:rsidR="00EA0826" w:rsidRPr="00666AB9" w:rsidRDefault="00F21F85"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4514A619" w14:textId="585621CE" w:rsidR="006F3D2D" w:rsidRDefault="006F3D2D" w:rsidP="003033FD">
            <w:pPr>
              <w:spacing w:after="0" w:line="240" w:lineRule="auto"/>
              <w:jc w:val="both"/>
              <w:rPr>
                <w:rFonts w:ascii="Verdana" w:hAnsi="Verdana" w:cs="Arial"/>
                <w:bCs/>
                <w:color w:val="000000"/>
                <w:sz w:val="16"/>
                <w:szCs w:val="21"/>
              </w:rPr>
            </w:pPr>
            <w:r>
              <w:rPr>
                <w:rFonts w:ascii="Verdana" w:hAnsi="Verdana" w:cs="Arial"/>
                <w:sz w:val="16"/>
                <w:szCs w:val="16"/>
              </w:rPr>
              <w:t xml:space="preserve">Código anterior: </w:t>
            </w:r>
            <w:r w:rsidR="00CD077D" w:rsidRPr="00CD077D">
              <w:rPr>
                <w:rFonts w:ascii="Verdana" w:hAnsi="Verdana" w:cs="Arial"/>
                <w:bCs/>
                <w:color w:val="000000"/>
                <w:sz w:val="16"/>
                <w:szCs w:val="21"/>
              </w:rPr>
              <w:t>DM-PR-018</w:t>
            </w:r>
            <w:r w:rsidR="001D6415">
              <w:rPr>
                <w:rFonts w:ascii="Verdana" w:hAnsi="Verdana" w:cs="Arial"/>
                <w:bCs/>
                <w:color w:val="000000"/>
                <w:sz w:val="16"/>
                <w:szCs w:val="21"/>
              </w:rPr>
              <w:t xml:space="preserve"> V0</w:t>
            </w:r>
          </w:p>
          <w:p w14:paraId="3BF64422" w14:textId="77777777" w:rsidR="00995B63" w:rsidRDefault="00995B63" w:rsidP="003033FD">
            <w:pPr>
              <w:spacing w:after="0" w:line="240" w:lineRule="auto"/>
              <w:jc w:val="both"/>
              <w:rPr>
                <w:rFonts w:ascii="Verdana" w:hAnsi="Verdana" w:cs="Arial"/>
                <w:bCs/>
                <w:color w:val="000000"/>
                <w:sz w:val="16"/>
                <w:szCs w:val="21"/>
              </w:rPr>
            </w:pPr>
          </w:p>
          <w:p w14:paraId="78F926FD" w14:textId="77777777" w:rsidR="006303D4" w:rsidRDefault="006303D4" w:rsidP="006303D4">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0959B32C" w14:textId="77777777" w:rsidR="006303D4" w:rsidRDefault="006303D4" w:rsidP="006303D4">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6303D4" w:rsidRPr="009668F3" w14:paraId="4D4538AD" w14:textId="77777777" w:rsidTr="00FB4FAF">
              <w:tc>
                <w:tcPr>
                  <w:tcW w:w="3995" w:type="dxa"/>
                </w:tcPr>
                <w:p w14:paraId="513B4AD1" w14:textId="77777777" w:rsidR="006303D4" w:rsidRPr="009668F3" w:rsidRDefault="006303D4" w:rsidP="006303D4">
                  <w:pPr>
                    <w:jc w:val="center"/>
                    <w:rPr>
                      <w:rFonts w:ascii="Verdana" w:hAnsi="Verdana" w:cs="Arial"/>
                      <w:bCs/>
                      <w:color w:val="000000" w:themeColor="text1"/>
                      <w:sz w:val="16"/>
                      <w:szCs w:val="21"/>
                    </w:rPr>
                  </w:pPr>
                  <w:r w:rsidRPr="009668F3">
                    <w:rPr>
                      <w:rFonts w:ascii="Verdana" w:hAnsi="Verdana" w:cs="Arial"/>
                      <w:bCs/>
                      <w:color w:val="000000" w:themeColor="text1"/>
                      <w:sz w:val="16"/>
                      <w:szCs w:val="21"/>
                    </w:rPr>
                    <w:t>REVISÓ</w:t>
                  </w:r>
                </w:p>
              </w:tc>
              <w:tc>
                <w:tcPr>
                  <w:tcW w:w="3995" w:type="dxa"/>
                </w:tcPr>
                <w:p w14:paraId="6AB217BA" w14:textId="77777777" w:rsidR="006303D4" w:rsidRPr="009668F3" w:rsidRDefault="006303D4" w:rsidP="006303D4">
                  <w:pPr>
                    <w:jc w:val="center"/>
                    <w:rPr>
                      <w:rFonts w:ascii="Verdana" w:hAnsi="Verdana" w:cs="Arial"/>
                      <w:bCs/>
                      <w:color w:val="000000" w:themeColor="text1"/>
                      <w:sz w:val="16"/>
                      <w:szCs w:val="21"/>
                    </w:rPr>
                  </w:pPr>
                  <w:r w:rsidRPr="009668F3">
                    <w:rPr>
                      <w:rFonts w:ascii="Verdana" w:hAnsi="Verdana" w:cs="Arial"/>
                      <w:bCs/>
                      <w:color w:val="000000" w:themeColor="text1"/>
                      <w:sz w:val="16"/>
                      <w:szCs w:val="21"/>
                    </w:rPr>
                    <w:t>APROBÓ</w:t>
                  </w:r>
                </w:p>
              </w:tc>
            </w:tr>
            <w:tr w:rsidR="006303D4" w:rsidRPr="009668F3" w14:paraId="7947DED1" w14:textId="77777777" w:rsidTr="00FB4FAF">
              <w:tc>
                <w:tcPr>
                  <w:tcW w:w="3995" w:type="dxa"/>
                </w:tcPr>
                <w:p w14:paraId="4686E505" w14:textId="77777777" w:rsidR="009668F3" w:rsidRPr="009668F3" w:rsidRDefault="009668F3" w:rsidP="006303D4">
                  <w:pPr>
                    <w:jc w:val="both"/>
                    <w:rPr>
                      <w:rFonts w:ascii="Verdana" w:hAnsi="Verdana" w:cs="Arial"/>
                      <w:bCs/>
                      <w:color w:val="000000" w:themeColor="text1"/>
                      <w:sz w:val="16"/>
                      <w:szCs w:val="21"/>
                    </w:rPr>
                  </w:pPr>
                  <w:r w:rsidRPr="009668F3">
                    <w:rPr>
                      <w:rFonts w:ascii="Verdana" w:hAnsi="Verdana" w:cs="Arial"/>
                      <w:bCs/>
                      <w:color w:val="000000" w:themeColor="text1"/>
                      <w:sz w:val="16"/>
                      <w:szCs w:val="21"/>
                    </w:rPr>
                    <w:t>HERNAN ALONSO ZUÑIGA CARVAJAL</w:t>
                  </w:r>
                </w:p>
                <w:p w14:paraId="459A4B65" w14:textId="2F2F5970" w:rsidR="006303D4" w:rsidRPr="009668F3" w:rsidRDefault="006303D4" w:rsidP="006303D4">
                  <w:pPr>
                    <w:jc w:val="both"/>
                    <w:rPr>
                      <w:rFonts w:ascii="Verdana" w:hAnsi="Verdana" w:cs="Arial"/>
                      <w:bCs/>
                      <w:color w:val="000000" w:themeColor="text1"/>
                      <w:sz w:val="16"/>
                      <w:szCs w:val="21"/>
                    </w:rPr>
                  </w:pPr>
                  <w:r w:rsidRPr="009668F3">
                    <w:rPr>
                      <w:rFonts w:ascii="Verdana" w:hAnsi="Verdana" w:cs="Arial"/>
                      <w:bCs/>
                      <w:color w:val="000000" w:themeColor="text1"/>
                      <w:sz w:val="16"/>
                      <w:szCs w:val="21"/>
                    </w:rPr>
                    <w:t xml:space="preserve">Cargo: </w:t>
                  </w:r>
                  <w:r w:rsidR="009668F3" w:rsidRPr="009668F3">
                    <w:rPr>
                      <w:rFonts w:ascii="Verdana" w:hAnsi="Verdana" w:cs="Arial"/>
                      <w:bCs/>
                      <w:color w:val="000000" w:themeColor="text1"/>
                      <w:sz w:val="16"/>
                      <w:szCs w:val="21"/>
                    </w:rPr>
                    <w:t>Director de Regulación (E)</w:t>
                  </w:r>
                </w:p>
              </w:tc>
              <w:tc>
                <w:tcPr>
                  <w:tcW w:w="3995" w:type="dxa"/>
                </w:tcPr>
                <w:p w14:paraId="455465E0" w14:textId="77777777" w:rsidR="009668F3" w:rsidRPr="009668F3" w:rsidRDefault="009668F3" w:rsidP="006303D4">
                  <w:pPr>
                    <w:jc w:val="both"/>
                    <w:rPr>
                      <w:rFonts w:ascii="Verdana" w:hAnsi="Verdana" w:cs="Arial"/>
                      <w:bCs/>
                      <w:color w:val="000000" w:themeColor="text1"/>
                      <w:sz w:val="16"/>
                      <w:szCs w:val="21"/>
                    </w:rPr>
                  </w:pPr>
                  <w:r w:rsidRPr="009668F3">
                    <w:rPr>
                      <w:rFonts w:ascii="Verdana" w:hAnsi="Verdana" w:cs="Arial"/>
                      <w:bCs/>
                      <w:color w:val="000000" w:themeColor="text1"/>
                      <w:sz w:val="16"/>
                      <w:szCs w:val="21"/>
                    </w:rPr>
                    <w:t>HERNAN ALONSO ZUÑIGA CARVAJAL</w:t>
                  </w:r>
                </w:p>
                <w:p w14:paraId="22AA45E3" w14:textId="400CC7A9" w:rsidR="006303D4" w:rsidRPr="009668F3" w:rsidRDefault="006303D4" w:rsidP="006303D4">
                  <w:pPr>
                    <w:jc w:val="both"/>
                    <w:rPr>
                      <w:rFonts w:ascii="Verdana" w:hAnsi="Verdana" w:cs="Arial"/>
                      <w:bCs/>
                      <w:color w:val="000000" w:themeColor="text1"/>
                      <w:sz w:val="16"/>
                      <w:szCs w:val="21"/>
                    </w:rPr>
                  </w:pPr>
                  <w:r w:rsidRPr="009668F3">
                    <w:rPr>
                      <w:rFonts w:ascii="Verdana" w:hAnsi="Verdana" w:cs="Arial"/>
                      <w:bCs/>
                      <w:color w:val="000000" w:themeColor="text1"/>
                      <w:sz w:val="16"/>
                      <w:szCs w:val="21"/>
                    </w:rPr>
                    <w:t>Cargo:</w:t>
                  </w:r>
                  <w:r w:rsidRPr="009668F3">
                    <w:rPr>
                      <w:rFonts w:ascii="Arial" w:hAnsi="Arial" w:cs="Arial"/>
                      <w:color w:val="000000" w:themeColor="text1"/>
                      <w:sz w:val="18"/>
                      <w:szCs w:val="18"/>
                    </w:rPr>
                    <w:t xml:space="preserve"> </w:t>
                  </w:r>
                  <w:r w:rsidR="009668F3" w:rsidRPr="009668F3">
                    <w:rPr>
                      <w:rFonts w:ascii="Verdana" w:hAnsi="Verdana" w:cs="Arial"/>
                      <w:bCs/>
                      <w:color w:val="000000" w:themeColor="text1"/>
                      <w:sz w:val="16"/>
                      <w:szCs w:val="21"/>
                    </w:rPr>
                    <w:t>Director de Regulación (E)</w:t>
                  </w:r>
                </w:p>
              </w:tc>
            </w:tr>
          </w:tbl>
          <w:p w14:paraId="553BF175" w14:textId="77777777" w:rsidR="006303D4" w:rsidRDefault="006303D4" w:rsidP="006303D4">
            <w:pPr>
              <w:spacing w:after="0" w:line="240" w:lineRule="auto"/>
              <w:jc w:val="both"/>
              <w:rPr>
                <w:rFonts w:ascii="Verdana" w:hAnsi="Verdana" w:cs="Arial"/>
                <w:bCs/>
                <w:color w:val="000000"/>
                <w:sz w:val="16"/>
                <w:szCs w:val="21"/>
              </w:rPr>
            </w:pPr>
          </w:p>
          <w:p w14:paraId="4CF8C849" w14:textId="7E4C0080" w:rsidR="00995B63" w:rsidRPr="00CD077D" w:rsidRDefault="006303D4"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AF2B" w14:textId="77777777" w:rsidR="00A4343C" w:rsidRDefault="00A4343C" w:rsidP="00FF09A0">
      <w:pPr>
        <w:spacing w:after="0" w:line="240" w:lineRule="auto"/>
      </w:pPr>
      <w:r>
        <w:separator/>
      </w:r>
    </w:p>
  </w:endnote>
  <w:endnote w:type="continuationSeparator" w:id="0">
    <w:p w14:paraId="5A4F572A" w14:textId="77777777" w:rsidR="00A4343C" w:rsidRDefault="00A4343C"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0FA4" w14:textId="77777777" w:rsidR="00A4343C" w:rsidRDefault="00A4343C" w:rsidP="00FF09A0">
      <w:pPr>
        <w:spacing w:after="0" w:line="240" w:lineRule="auto"/>
      </w:pPr>
      <w:r>
        <w:separator/>
      </w:r>
    </w:p>
  </w:footnote>
  <w:footnote w:type="continuationSeparator" w:id="0">
    <w:p w14:paraId="7DD1BBFA" w14:textId="77777777" w:rsidR="00A4343C" w:rsidRDefault="00A4343C"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77D499E4"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FF00F7" w:rsidRPr="00FF00F7">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5D395413" w:rsidR="4F8B75BB" w:rsidRPr="00666AB9" w:rsidRDefault="00CD077D"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CALCULO DEL AHORRO EN TÉRMINOS MONETARIOS QUE REPRESENTA PARA LOS USUARIOS LA INTERVENCIÓN DE BARRERAS Y MEJORA NORMATIVA.</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078981EE"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D8773E">
            <w:rPr>
              <w:rFonts w:ascii="Verdana" w:eastAsia="Arial" w:hAnsi="Verdana" w:cs="Arial"/>
              <w:color w:val="000000" w:themeColor="text1"/>
              <w:sz w:val="16"/>
              <w:szCs w:val="16"/>
            </w:rPr>
            <w:t>011</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0BB9E341" w:rsidR="618C038B" w:rsidRPr="00666AB9" w:rsidRDefault="00D8773E"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03365475">
    <w:abstractNumId w:val="13"/>
  </w:num>
  <w:num w:numId="2" w16cid:durableId="974990818">
    <w:abstractNumId w:val="4"/>
  </w:num>
  <w:num w:numId="3" w16cid:durableId="1672953398">
    <w:abstractNumId w:val="1"/>
  </w:num>
  <w:num w:numId="4" w16cid:durableId="798256799">
    <w:abstractNumId w:val="8"/>
  </w:num>
  <w:num w:numId="5" w16cid:durableId="824510345">
    <w:abstractNumId w:val="12"/>
  </w:num>
  <w:num w:numId="6" w16cid:durableId="274407233">
    <w:abstractNumId w:val="2"/>
  </w:num>
  <w:num w:numId="7" w16cid:durableId="868907691">
    <w:abstractNumId w:val="0"/>
  </w:num>
  <w:num w:numId="8" w16cid:durableId="1594706876">
    <w:abstractNumId w:val="3"/>
  </w:num>
  <w:num w:numId="9" w16cid:durableId="808061517">
    <w:abstractNumId w:val="9"/>
  </w:num>
  <w:num w:numId="10" w16cid:durableId="573244926">
    <w:abstractNumId w:val="5"/>
  </w:num>
  <w:num w:numId="11" w16cid:durableId="83259605">
    <w:abstractNumId w:val="10"/>
  </w:num>
  <w:num w:numId="12" w16cid:durableId="2137602436">
    <w:abstractNumId w:val="7"/>
  </w:num>
  <w:num w:numId="13" w16cid:durableId="668406007">
    <w:abstractNumId w:val="6"/>
  </w:num>
  <w:num w:numId="14" w16cid:durableId="2071413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84489"/>
    <w:rsid w:val="000A2345"/>
    <w:rsid w:val="000A6C04"/>
    <w:rsid w:val="000B4925"/>
    <w:rsid w:val="000B497A"/>
    <w:rsid w:val="000C2CEB"/>
    <w:rsid w:val="000E5FFE"/>
    <w:rsid w:val="000F1080"/>
    <w:rsid w:val="00111E13"/>
    <w:rsid w:val="00117859"/>
    <w:rsid w:val="00130AB6"/>
    <w:rsid w:val="00136A11"/>
    <w:rsid w:val="00145F13"/>
    <w:rsid w:val="001C5FBA"/>
    <w:rsid w:val="001C6CBA"/>
    <w:rsid w:val="001D0B5F"/>
    <w:rsid w:val="001D6415"/>
    <w:rsid w:val="001E7211"/>
    <w:rsid w:val="0020121F"/>
    <w:rsid w:val="00223AA5"/>
    <w:rsid w:val="00237C40"/>
    <w:rsid w:val="0024300F"/>
    <w:rsid w:val="0024690F"/>
    <w:rsid w:val="002609A3"/>
    <w:rsid w:val="0026414F"/>
    <w:rsid w:val="00274A63"/>
    <w:rsid w:val="0029132E"/>
    <w:rsid w:val="00291CA0"/>
    <w:rsid w:val="002931C7"/>
    <w:rsid w:val="00293CEB"/>
    <w:rsid w:val="00295947"/>
    <w:rsid w:val="002A0289"/>
    <w:rsid w:val="002A45E3"/>
    <w:rsid w:val="002B4273"/>
    <w:rsid w:val="002C2E93"/>
    <w:rsid w:val="002C3BD4"/>
    <w:rsid w:val="002E6474"/>
    <w:rsid w:val="002F0F53"/>
    <w:rsid w:val="002F176B"/>
    <w:rsid w:val="002F5FEB"/>
    <w:rsid w:val="00300460"/>
    <w:rsid w:val="00301C99"/>
    <w:rsid w:val="003033FD"/>
    <w:rsid w:val="00313C84"/>
    <w:rsid w:val="003175C6"/>
    <w:rsid w:val="003545C9"/>
    <w:rsid w:val="003644BD"/>
    <w:rsid w:val="003823B7"/>
    <w:rsid w:val="003B7177"/>
    <w:rsid w:val="00400C58"/>
    <w:rsid w:val="00403988"/>
    <w:rsid w:val="0040542A"/>
    <w:rsid w:val="00416D2C"/>
    <w:rsid w:val="00454302"/>
    <w:rsid w:val="004A258A"/>
    <w:rsid w:val="004A3BE9"/>
    <w:rsid w:val="004A450E"/>
    <w:rsid w:val="004B7F25"/>
    <w:rsid w:val="004E73E5"/>
    <w:rsid w:val="004F2A29"/>
    <w:rsid w:val="004F799A"/>
    <w:rsid w:val="005034CA"/>
    <w:rsid w:val="00527566"/>
    <w:rsid w:val="00535FDD"/>
    <w:rsid w:val="00570D5D"/>
    <w:rsid w:val="00573D13"/>
    <w:rsid w:val="005832CD"/>
    <w:rsid w:val="00584585"/>
    <w:rsid w:val="00585793"/>
    <w:rsid w:val="00591941"/>
    <w:rsid w:val="005A0CE9"/>
    <w:rsid w:val="005A3044"/>
    <w:rsid w:val="005A6B66"/>
    <w:rsid w:val="005A7D0E"/>
    <w:rsid w:val="005B5CEB"/>
    <w:rsid w:val="005B6577"/>
    <w:rsid w:val="005D2594"/>
    <w:rsid w:val="005E25C7"/>
    <w:rsid w:val="005F3247"/>
    <w:rsid w:val="005F66D0"/>
    <w:rsid w:val="00601069"/>
    <w:rsid w:val="00607318"/>
    <w:rsid w:val="006165B0"/>
    <w:rsid w:val="006169FD"/>
    <w:rsid w:val="006279DE"/>
    <w:rsid w:val="006303D4"/>
    <w:rsid w:val="006456A3"/>
    <w:rsid w:val="0066027D"/>
    <w:rsid w:val="00666AB9"/>
    <w:rsid w:val="00684262"/>
    <w:rsid w:val="0069702B"/>
    <w:rsid w:val="006B12B9"/>
    <w:rsid w:val="006B1F16"/>
    <w:rsid w:val="006C52F0"/>
    <w:rsid w:val="006D1AB7"/>
    <w:rsid w:val="006E1279"/>
    <w:rsid w:val="006E1D02"/>
    <w:rsid w:val="006F0A35"/>
    <w:rsid w:val="006F3D2D"/>
    <w:rsid w:val="007124C9"/>
    <w:rsid w:val="00713034"/>
    <w:rsid w:val="0072655E"/>
    <w:rsid w:val="007341F5"/>
    <w:rsid w:val="00747263"/>
    <w:rsid w:val="007558EC"/>
    <w:rsid w:val="00757FF1"/>
    <w:rsid w:val="007670FA"/>
    <w:rsid w:val="007758F6"/>
    <w:rsid w:val="00792E1F"/>
    <w:rsid w:val="0079534A"/>
    <w:rsid w:val="0079608A"/>
    <w:rsid w:val="007B4E62"/>
    <w:rsid w:val="007C3D27"/>
    <w:rsid w:val="007C4B85"/>
    <w:rsid w:val="007D3138"/>
    <w:rsid w:val="007D51BE"/>
    <w:rsid w:val="007F76CE"/>
    <w:rsid w:val="008034D9"/>
    <w:rsid w:val="00804F85"/>
    <w:rsid w:val="00823BA1"/>
    <w:rsid w:val="00851992"/>
    <w:rsid w:val="00853A22"/>
    <w:rsid w:val="0087001D"/>
    <w:rsid w:val="00874AE0"/>
    <w:rsid w:val="00886EC1"/>
    <w:rsid w:val="00895E24"/>
    <w:rsid w:val="008974F0"/>
    <w:rsid w:val="008B0C34"/>
    <w:rsid w:val="008D6D1B"/>
    <w:rsid w:val="008F0A6E"/>
    <w:rsid w:val="00900199"/>
    <w:rsid w:val="0091085B"/>
    <w:rsid w:val="00925745"/>
    <w:rsid w:val="0093090C"/>
    <w:rsid w:val="00940BA8"/>
    <w:rsid w:val="00944BE9"/>
    <w:rsid w:val="00954D11"/>
    <w:rsid w:val="009668F3"/>
    <w:rsid w:val="00970821"/>
    <w:rsid w:val="00970E8B"/>
    <w:rsid w:val="00971C19"/>
    <w:rsid w:val="00995B63"/>
    <w:rsid w:val="009A0A14"/>
    <w:rsid w:val="009A384B"/>
    <w:rsid w:val="009B622A"/>
    <w:rsid w:val="009C14ED"/>
    <w:rsid w:val="009C21BB"/>
    <w:rsid w:val="009C583C"/>
    <w:rsid w:val="009D07CF"/>
    <w:rsid w:val="009D19DD"/>
    <w:rsid w:val="009D2340"/>
    <w:rsid w:val="009E4885"/>
    <w:rsid w:val="009E5DB2"/>
    <w:rsid w:val="009F44E8"/>
    <w:rsid w:val="00A02DE1"/>
    <w:rsid w:val="00A113D7"/>
    <w:rsid w:val="00A115BC"/>
    <w:rsid w:val="00A202A6"/>
    <w:rsid w:val="00A22F3F"/>
    <w:rsid w:val="00A32148"/>
    <w:rsid w:val="00A35B13"/>
    <w:rsid w:val="00A4343C"/>
    <w:rsid w:val="00A570F6"/>
    <w:rsid w:val="00A669EA"/>
    <w:rsid w:val="00A70643"/>
    <w:rsid w:val="00A75D0E"/>
    <w:rsid w:val="00A76CDB"/>
    <w:rsid w:val="00A770ED"/>
    <w:rsid w:val="00A808A4"/>
    <w:rsid w:val="00A85151"/>
    <w:rsid w:val="00AD5DB2"/>
    <w:rsid w:val="00AD62FA"/>
    <w:rsid w:val="00AD6B3B"/>
    <w:rsid w:val="00AD7470"/>
    <w:rsid w:val="00AF2851"/>
    <w:rsid w:val="00AF3BAE"/>
    <w:rsid w:val="00B07EC5"/>
    <w:rsid w:val="00B10731"/>
    <w:rsid w:val="00B12631"/>
    <w:rsid w:val="00B2097D"/>
    <w:rsid w:val="00B37A7C"/>
    <w:rsid w:val="00B521E8"/>
    <w:rsid w:val="00B679FA"/>
    <w:rsid w:val="00B838E7"/>
    <w:rsid w:val="00B83D9F"/>
    <w:rsid w:val="00B920E0"/>
    <w:rsid w:val="00BA58FB"/>
    <w:rsid w:val="00BB1B01"/>
    <w:rsid w:val="00BB4EAC"/>
    <w:rsid w:val="00BB63A6"/>
    <w:rsid w:val="00C1728E"/>
    <w:rsid w:val="00C21389"/>
    <w:rsid w:val="00C33928"/>
    <w:rsid w:val="00C458C4"/>
    <w:rsid w:val="00C46177"/>
    <w:rsid w:val="00C63B16"/>
    <w:rsid w:val="00C650E9"/>
    <w:rsid w:val="00C71896"/>
    <w:rsid w:val="00C71CC6"/>
    <w:rsid w:val="00C729AD"/>
    <w:rsid w:val="00C77DA4"/>
    <w:rsid w:val="00C8072D"/>
    <w:rsid w:val="00C823B2"/>
    <w:rsid w:val="00CA776F"/>
    <w:rsid w:val="00CC6239"/>
    <w:rsid w:val="00CD077D"/>
    <w:rsid w:val="00CD3C2F"/>
    <w:rsid w:val="00CE0005"/>
    <w:rsid w:val="00CE1614"/>
    <w:rsid w:val="00CF5E13"/>
    <w:rsid w:val="00CF7160"/>
    <w:rsid w:val="00D102FF"/>
    <w:rsid w:val="00D14EE3"/>
    <w:rsid w:val="00D27F6A"/>
    <w:rsid w:val="00D30510"/>
    <w:rsid w:val="00D4353B"/>
    <w:rsid w:val="00D8671B"/>
    <w:rsid w:val="00D8773E"/>
    <w:rsid w:val="00DA19DE"/>
    <w:rsid w:val="00DC606B"/>
    <w:rsid w:val="00E031E5"/>
    <w:rsid w:val="00E143A7"/>
    <w:rsid w:val="00E22DCA"/>
    <w:rsid w:val="00E30AA0"/>
    <w:rsid w:val="00E32749"/>
    <w:rsid w:val="00E503BD"/>
    <w:rsid w:val="00E70323"/>
    <w:rsid w:val="00E75BA3"/>
    <w:rsid w:val="00E87A9C"/>
    <w:rsid w:val="00E91094"/>
    <w:rsid w:val="00E93440"/>
    <w:rsid w:val="00EA0279"/>
    <w:rsid w:val="00EA0826"/>
    <w:rsid w:val="00EB3B4C"/>
    <w:rsid w:val="00EF4DED"/>
    <w:rsid w:val="00F05E25"/>
    <w:rsid w:val="00F06927"/>
    <w:rsid w:val="00F141C1"/>
    <w:rsid w:val="00F1461B"/>
    <w:rsid w:val="00F21F85"/>
    <w:rsid w:val="00F5171E"/>
    <w:rsid w:val="00F51B42"/>
    <w:rsid w:val="00F62291"/>
    <w:rsid w:val="00F74146"/>
    <w:rsid w:val="00F91859"/>
    <w:rsid w:val="00FB4F47"/>
    <w:rsid w:val="00FD44E0"/>
    <w:rsid w:val="00FF00F7"/>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750543463">
      <w:bodyDiv w:val="1"/>
      <w:marLeft w:val="0"/>
      <w:marRight w:val="0"/>
      <w:marTop w:val="0"/>
      <w:marBottom w:val="0"/>
      <w:divBdr>
        <w:top w:val="none" w:sz="0" w:space="0" w:color="auto"/>
        <w:left w:val="none" w:sz="0" w:space="0" w:color="auto"/>
        <w:bottom w:val="none" w:sz="0" w:space="0" w:color="auto"/>
        <w:right w:val="none" w:sz="0" w:space="0" w:color="auto"/>
      </w:divBdr>
      <w:divsChild>
        <w:div w:id="1739087889">
          <w:marLeft w:val="0"/>
          <w:marRight w:val="0"/>
          <w:marTop w:val="0"/>
          <w:marBottom w:val="0"/>
          <w:divBdr>
            <w:top w:val="none" w:sz="0" w:space="0" w:color="auto"/>
            <w:left w:val="none" w:sz="0" w:space="0" w:color="auto"/>
            <w:bottom w:val="none" w:sz="0" w:space="0" w:color="auto"/>
            <w:right w:val="none" w:sz="0" w:space="0" w:color="auto"/>
          </w:divBdr>
        </w:div>
      </w:divsChild>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970135881">
      <w:bodyDiv w:val="1"/>
      <w:marLeft w:val="0"/>
      <w:marRight w:val="0"/>
      <w:marTop w:val="0"/>
      <w:marBottom w:val="0"/>
      <w:divBdr>
        <w:top w:val="none" w:sz="0" w:space="0" w:color="auto"/>
        <w:left w:val="none" w:sz="0" w:space="0" w:color="auto"/>
        <w:bottom w:val="none" w:sz="0" w:space="0" w:color="auto"/>
        <w:right w:val="none" w:sz="0" w:space="0" w:color="auto"/>
      </w:divBdr>
      <w:divsChild>
        <w:div w:id="972561650">
          <w:marLeft w:val="0"/>
          <w:marRight w:val="0"/>
          <w:marTop w:val="0"/>
          <w:marBottom w:val="0"/>
          <w:divBdr>
            <w:top w:val="none" w:sz="0" w:space="0" w:color="auto"/>
            <w:left w:val="none" w:sz="0" w:space="0" w:color="auto"/>
            <w:bottom w:val="none" w:sz="0" w:space="0" w:color="auto"/>
            <w:right w:val="none" w:sz="0" w:space="0" w:color="auto"/>
          </w:divBdr>
        </w:div>
      </w:divsChild>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5226462">
      <w:bodyDiv w:val="1"/>
      <w:marLeft w:val="0"/>
      <w:marRight w:val="0"/>
      <w:marTop w:val="0"/>
      <w:marBottom w:val="0"/>
      <w:divBdr>
        <w:top w:val="none" w:sz="0" w:space="0" w:color="auto"/>
        <w:left w:val="none" w:sz="0" w:space="0" w:color="auto"/>
        <w:bottom w:val="none" w:sz="0" w:space="0" w:color="auto"/>
        <w:right w:val="none" w:sz="0" w:space="0" w:color="auto"/>
      </w:divBdr>
      <w:divsChild>
        <w:div w:id="919868250">
          <w:marLeft w:val="0"/>
          <w:marRight w:val="0"/>
          <w:marTop w:val="0"/>
          <w:marBottom w:val="0"/>
          <w:divBdr>
            <w:top w:val="none" w:sz="0" w:space="0" w:color="auto"/>
            <w:left w:val="none" w:sz="0" w:space="0" w:color="auto"/>
            <w:bottom w:val="none" w:sz="0" w:space="0" w:color="auto"/>
            <w:right w:val="none" w:sz="0" w:space="0" w:color="auto"/>
          </w:divBdr>
        </w:div>
      </w:divsChild>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F00739-A5D2-42D4-9FF9-A16CABDA9C64}">
  <ds:schemaRefs>
    <ds:schemaRef ds:uri="http://schemas.openxmlformats.org/officeDocument/2006/bibliography"/>
  </ds:schemaRefs>
</ds:datastoreItem>
</file>

<file path=customXml/itemProps2.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2220</Words>
  <Characters>12211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16</cp:revision>
  <dcterms:created xsi:type="dcterms:W3CDTF">2025-09-13T20:17:00Z</dcterms:created>
  <dcterms:modified xsi:type="dcterms:W3CDTF">2026-05-23T17:56:00Z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