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A1563F"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A1563F"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A1563F">
        <w:rPr>
          <w:rFonts w:ascii="Verdana" w:hAnsi="Verdana" w:cs="Arial"/>
          <w:b/>
          <w:sz w:val="20"/>
          <w:szCs w:val="20"/>
        </w:rPr>
        <w:t>OBJETIVO</w:t>
      </w:r>
      <w:bookmarkEnd w:id="0"/>
      <w:bookmarkEnd w:id="1"/>
      <w:bookmarkEnd w:id="2"/>
    </w:p>
    <w:p w14:paraId="2DAF827B" w14:textId="77777777" w:rsidR="00EA0826" w:rsidRPr="00A1563F"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1B5BE7A5" w:rsidR="002F176B" w:rsidRPr="00A1563F" w:rsidRDefault="00A1563F" w:rsidP="003033FD">
      <w:pPr>
        <w:spacing w:after="0" w:line="240" w:lineRule="auto"/>
        <w:jc w:val="both"/>
        <w:rPr>
          <w:rFonts w:ascii="Verdana" w:hAnsi="Verdana"/>
          <w:color w:val="000000"/>
          <w:sz w:val="20"/>
          <w:szCs w:val="20"/>
        </w:rPr>
      </w:pPr>
      <w:r w:rsidRPr="00A1563F">
        <w:rPr>
          <w:rFonts w:ascii="Verdana" w:hAnsi="Verdana"/>
          <w:color w:val="000000"/>
          <w:sz w:val="20"/>
          <w:szCs w:val="20"/>
        </w:rPr>
        <w:t>Tramitar y decidir mediante acto administrativo debidamente motivado las solicitudes de otorgamiento del Programa de Fomento Para la Industria Automotriz, autorización de importación de bienes, de subprogramas y de terminación del Programa, de conformidad con la normatividad reguladora de la materia. </w:t>
      </w:r>
    </w:p>
    <w:p w14:paraId="2FD258B8" w14:textId="77777777" w:rsidR="00A1563F" w:rsidRPr="00A1563F" w:rsidRDefault="00A1563F" w:rsidP="003033FD">
      <w:pPr>
        <w:spacing w:after="0" w:line="240" w:lineRule="auto"/>
        <w:jc w:val="both"/>
        <w:rPr>
          <w:rFonts w:ascii="Verdana" w:hAnsi="Verdana" w:cs="Arial"/>
          <w:sz w:val="20"/>
          <w:szCs w:val="20"/>
        </w:rPr>
      </w:pPr>
    </w:p>
    <w:p w14:paraId="412D6946" w14:textId="6A5D2CA3" w:rsidR="00EA0826" w:rsidRPr="00A1563F" w:rsidRDefault="00EA0826" w:rsidP="003033FD">
      <w:pPr>
        <w:numPr>
          <w:ilvl w:val="0"/>
          <w:numId w:val="11"/>
        </w:numPr>
        <w:spacing w:after="0" w:line="240" w:lineRule="auto"/>
        <w:ind w:left="0" w:firstLine="0"/>
        <w:jc w:val="both"/>
        <w:rPr>
          <w:rFonts w:ascii="Verdana" w:hAnsi="Verdana" w:cs="Arial"/>
          <w:b/>
          <w:sz w:val="20"/>
          <w:szCs w:val="20"/>
        </w:rPr>
      </w:pPr>
      <w:r w:rsidRPr="00A1563F">
        <w:rPr>
          <w:rFonts w:ascii="Verdana" w:hAnsi="Verdana" w:cs="Arial"/>
          <w:b/>
          <w:sz w:val="20"/>
          <w:szCs w:val="20"/>
        </w:rPr>
        <w:t>ALCANCE</w:t>
      </w:r>
      <w:bookmarkEnd w:id="3"/>
      <w:bookmarkEnd w:id="4"/>
      <w:bookmarkEnd w:id="5"/>
    </w:p>
    <w:p w14:paraId="138655F0" w14:textId="77777777" w:rsidR="00A1563F" w:rsidRPr="00A1563F" w:rsidRDefault="00A1563F" w:rsidP="00A1563F">
      <w:pPr>
        <w:spacing w:after="0" w:line="240" w:lineRule="auto"/>
        <w:jc w:val="both"/>
        <w:rPr>
          <w:rFonts w:ascii="Verdana" w:hAnsi="Verdana"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A1563F" w:rsidRPr="00A1563F" w14:paraId="0C2F3D89" w14:textId="77777777" w:rsidTr="00A1563F">
        <w:trPr>
          <w:tblCellSpacing w:w="0" w:type="dxa"/>
        </w:trPr>
        <w:tc>
          <w:tcPr>
            <w:tcW w:w="75" w:type="dxa"/>
            <w:hideMark/>
          </w:tcPr>
          <w:p w14:paraId="1D9DD265" w14:textId="7876385C" w:rsidR="00A1563F" w:rsidRPr="00A1563F" w:rsidRDefault="00A1563F" w:rsidP="00A1563F">
            <w:pPr>
              <w:spacing w:after="0" w:line="240" w:lineRule="auto"/>
              <w:rPr>
                <w:rFonts w:ascii="Verdana" w:eastAsia="Times New Roman" w:hAnsi="Verdana" w:cs="Arial"/>
                <w:sz w:val="20"/>
                <w:szCs w:val="20"/>
                <w:lang w:eastAsia="es-CO"/>
              </w:rPr>
            </w:pPr>
            <w:r w:rsidRPr="00A1563F">
              <w:rPr>
                <w:rFonts w:ascii="Verdana" w:eastAsia="Times New Roman" w:hAnsi="Verdana" w:cs="Arial"/>
                <w:noProof/>
                <w:sz w:val="20"/>
                <w:szCs w:val="20"/>
                <w:lang w:eastAsia="es-CO"/>
              </w:rPr>
              <w:drawing>
                <wp:inline distT="0" distB="0" distL="0" distR="0" wp14:anchorId="5AEEFE47" wp14:editId="0C281339">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4A9D360C" w14:textId="77777777" w:rsidR="00A1563F" w:rsidRPr="00A1563F" w:rsidRDefault="00A1563F" w:rsidP="00A1563F">
            <w:pPr>
              <w:spacing w:after="0" w:line="240" w:lineRule="auto"/>
              <w:rPr>
                <w:rFonts w:ascii="Verdana" w:eastAsia="Times New Roman" w:hAnsi="Verdana" w:cs="Arial"/>
                <w:sz w:val="20"/>
                <w:szCs w:val="20"/>
                <w:lang w:eastAsia="es-CO"/>
              </w:rPr>
            </w:pPr>
            <w:r w:rsidRPr="00A1563F">
              <w:rPr>
                <w:rFonts w:ascii="Verdana" w:eastAsia="Times New Roman" w:hAnsi="Verdana" w:cs="Arial"/>
                <w:sz w:val="20"/>
                <w:szCs w:val="20"/>
                <w:lang w:eastAsia="es-CO"/>
              </w:rPr>
              <w:t>Aplica al tramité de las solicitudes de otorgamiento del Programa de Fomento para la Industria Automotriz, de autorización de importación de bienes y subprogramas, así como a las de terminación del mismo, las cuales se presentan a la Dirección de Productividad y Competitividad del Ministerio de Comercio, Industria y Turismo por los fabricantes de autopartes y ensambladores de vehículos de la industria automotriz.</w:t>
            </w:r>
            <w:r w:rsidRPr="00A1563F">
              <w:rPr>
                <w:rFonts w:ascii="Verdana" w:eastAsia="Times New Roman" w:hAnsi="Verdana" w:cs="Arial"/>
                <w:sz w:val="20"/>
                <w:szCs w:val="20"/>
                <w:lang w:eastAsia="es-CO"/>
              </w:rPr>
              <w:br/>
            </w:r>
            <w:r w:rsidRPr="00A1563F">
              <w:rPr>
                <w:rFonts w:ascii="Verdana" w:eastAsia="Times New Roman" w:hAnsi="Verdana" w:cs="Arial"/>
                <w:sz w:val="20"/>
                <w:szCs w:val="20"/>
                <w:lang w:eastAsia="es-CO"/>
              </w:rPr>
              <w:br/>
              <w:t>El procedimiento inicia con el análisis y la revisión de la solicitud radicada de otorgamiento del Programa de Fomento para la Industria Automotriz de cara a lo dispuesto en el Decreto 1567 de 2015 y termina con la información y solicitud de comunicación y publicación de la resolución que otorga el programa e importación de bienes. Cuando se trate de terminación del programa termina con la ejecutoria de la resolución que declara la terminación. </w:t>
            </w:r>
          </w:p>
        </w:tc>
      </w:tr>
    </w:tbl>
    <w:p w14:paraId="2B42DE8E" w14:textId="77777777" w:rsidR="001C6CBA" w:rsidRPr="00A1563F" w:rsidRDefault="001C6CBA" w:rsidP="003033FD">
      <w:pPr>
        <w:spacing w:after="0" w:line="240" w:lineRule="auto"/>
        <w:jc w:val="both"/>
        <w:rPr>
          <w:rFonts w:ascii="Verdana" w:hAnsi="Verdana" w:cs="Arial"/>
          <w:b/>
          <w:sz w:val="20"/>
          <w:szCs w:val="20"/>
        </w:rPr>
      </w:pPr>
    </w:p>
    <w:p w14:paraId="2375D6A3" w14:textId="3E95B7AB" w:rsidR="00E32749" w:rsidRPr="00A1563F"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A1563F">
        <w:rPr>
          <w:rFonts w:ascii="Verdana" w:hAnsi="Verdana" w:cs="Arial"/>
          <w:b/>
          <w:bCs/>
          <w:sz w:val="20"/>
          <w:szCs w:val="20"/>
        </w:rPr>
        <w:t>DEFINICIONES Y</w:t>
      </w:r>
      <w:r w:rsidR="7103B17B" w:rsidRPr="00A1563F">
        <w:rPr>
          <w:rFonts w:ascii="Verdana" w:hAnsi="Verdana" w:cs="Arial"/>
          <w:b/>
          <w:bCs/>
          <w:sz w:val="20"/>
          <w:szCs w:val="20"/>
        </w:rPr>
        <w:t xml:space="preserve"> SIGLAS</w:t>
      </w:r>
    </w:p>
    <w:p w14:paraId="26687A72" w14:textId="77777777" w:rsidR="003033FD" w:rsidRPr="00A1563F" w:rsidRDefault="003033FD" w:rsidP="003033FD">
      <w:pPr>
        <w:spacing w:after="0" w:line="240" w:lineRule="auto"/>
        <w:jc w:val="both"/>
        <w:rPr>
          <w:rFonts w:ascii="Verdana" w:hAnsi="Verdana" w:cs="Arial"/>
          <w:b/>
          <w:sz w:val="20"/>
          <w:szCs w:val="20"/>
        </w:rPr>
      </w:pPr>
    </w:p>
    <w:p w14:paraId="66B63734" w14:textId="4CB4340B" w:rsidR="00A1563F" w:rsidRPr="00A1563F" w:rsidRDefault="00A1563F" w:rsidP="00A1563F">
      <w:pPr>
        <w:spacing w:after="0" w:line="240" w:lineRule="auto"/>
        <w:jc w:val="both"/>
        <w:rPr>
          <w:rFonts w:ascii="Verdana" w:hAnsi="Verdana" w:cs="Arial"/>
          <w:b/>
          <w:sz w:val="20"/>
          <w:szCs w:val="20"/>
        </w:rPr>
      </w:pPr>
      <w:r w:rsidRPr="00A1563F">
        <w:rPr>
          <w:rFonts w:ascii="Verdana" w:hAnsi="Verdana" w:cs="Arial"/>
          <w:sz w:val="20"/>
          <w:szCs w:val="20"/>
        </w:rPr>
        <w:t xml:space="preserve">PROFIA: </w:t>
      </w:r>
      <w:r w:rsidRPr="00A1563F">
        <w:rPr>
          <w:rFonts w:ascii="Verdana" w:hAnsi="Verdana" w:cs="Arial"/>
          <w:color w:val="333333"/>
          <w:sz w:val="20"/>
          <w:szCs w:val="20"/>
        </w:rPr>
        <w:t>Programa de Fomento para la Industria Automotriz</w:t>
      </w:r>
    </w:p>
    <w:p w14:paraId="7770B4C8" w14:textId="77777777" w:rsidR="00A1563F" w:rsidRPr="00A1563F" w:rsidRDefault="00A1563F" w:rsidP="00A1563F">
      <w:pPr>
        <w:spacing w:after="0" w:line="240" w:lineRule="auto"/>
        <w:jc w:val="both"/>
        <w:rPr>
          <w:rFonts w:ascii="Verdana" w:hAnsi="Verdana" w:cs="Arial"/>
          <w:sz w:val="20"/>
          <w:szCs w:val="20"/>
        </w:rPr>
      </w:pPr>
    </w:p>
    <w:p w14:paraId="39D45644" w14:textId="19EA0678" w:rsidR="00A1563F" w:rsidRPr="00A1563F" w:rsidRDefault="00A1563F" w:rsidP="00A1563F">
      <w:pPr>
        <w:spacing w:after="0" w:line="240" w:lineRule="auto"/>
        <w:jc w:val="both"/>
        <w:rPr>
          <w:rFonts w:ascii="Verdana" w:hAnsi="Verdana" w:cs="Arial"/>
          <w:sz w:val="20"/>
          <w:szCs w:val="20"/>
        </w:rPr>
      </w:pPr>
      <w:r w:rsidRPr="00A1563F">
        <w:rPr>
          <w:rFonts w:ascii="Verdana" w:hAnsi="Verdana" w:cs="Arial"/>
          <w:sz w:val="20"/>
          <w:szCs w:val="20"/>
        </w:rPr>
        <w:t>CERTIFICADO DE PRODUCCIÓN:</w:t>
      </w:r>
      <w:r w:rsidRPr="00A1563F">
        <w:rPr>
          <w:rFonts w:ascii="Verdana" w:hAnsi="Verdana" w:cs="Arial"/>
          <w:color w:val="333333"/>
          <w:sz w:val="20"/>
          <w:szCs w:val="20"/>
        </w:rPr>
        <w:t xml:space="preserve"> Es el documento emitido y presentado a la Unidad Administrativa Especial Dirección de Impuestos y Aduanas Nacionales (DIAN) por el beneficiario del Programa de Fomento para la Industria Automotriz, que demuestra la incorporación de los bienes importados en un bien final de los relacionados en las subpartidas arancelarias señaladas en el artículo 7º del Decreto 1567 de 2015, y que hará las veces de declaración de importación para acreditar la nacionalización y permanencia del bien final en el territorio aduanero nacional. Con la emisión del certificado de producción finaliza la modalidad de importación.</w:t>
      </w:r>
    </w:p>
    <w:p w14:paraId="21FE410D" w14:textId="77777777" w:rsidR="00A1563F" w:rsidRPr="00A1563F" w:rsidRDefault="00A1563F" w:rsidP="00A1563F">
      <w:pPr>
        <w:spacing w:after="0" w:line="240" w:lineRule="auto"/>
        <w:jc w:val="both"/>
        <w:rPr>
          <w:rFonts w:ascii="Verdana" w:hAnsi="Verdana" w:cs="Arial"/>
          <w:sz w:val="20"/>
          <w:szCs w:val="20"/>
        </w:rPr>
      </w:pPr>
    </w:p>
    <w:p w14:paraId="32125B1A" w14:textId="45FA720D" w:rsidR="00A1563F" w:rsidRPr="00A1563F" w:rsidRDefault="00A1563F" w:rsidP="00A1563F">
      <w:pPr>
        <w:spacing w:after="0" w:line="240" w:lineRule="auto"/>
        <w:jc w:val="both"/>
        <w:rPr>
          <w:rFonts w:ascii="Verdana" w:hAnsi="Verdana" w:cs="Arial"/>
          <w:sz w:val="20"/>
          <w:szCs w:val="20"/>
        </w:rPr>
      </w:pPr>
      <w:r w:rsidRPr="00A1563F">
        <w:rPr>
          <w:rFonts w:ascii="Verdana" w:hAnsi="Verdana" w:cs="Arial"/>
          <w:sz w:val="20"/>
          <w:szCs w:val="20"/>
        </w:rPr>
        <w:t xml:space="preserve">CÓDIGO NUMÉRICO ÚNICO: </w:t>
      </w:r>
      <w:r w:rsidRPr="00A1563F">
        <w:rPr>
          <w:rFonts w:ascii="Verdana" w:hAnsi="Verdana" w:cs="Arial"/>
          <w:color w:val="333333"/>
          <w:sz w:val="20"/>
          <w:szCs w:val="20"/>
        </w:rPr>
        <w:t>Es el que asigna el Ministerio de Comercio, Industria y Turismo a cada uno de los bienes comprendidos en las subpartidas arancelarias establecidas en el artículo 3 del Decreto 1567 de 2015, porque son sustancialmente diferenciables, o identificables y diferenciables en cuanto a su uso, tecnología y materiales</w:t>
      </w:r>
    </w:p>
    <w:p w14:paraId="053DC3F3" w14:textId="77777777" w:rsidR="00A1563F" w:rsidRPr="00A1563F" w:rsidRDefault="00A1563F" w:rsidP="00A1563F">
      <w:pPr>
        <w:spacing w:after="0" w:line="240" w:lineRule="auto"/>
        <w:jc w:val="both"/>
        <w:rPr>
          <w:rFonts w:ascii="Verdana" w:hAnsi="Verdana" w:cs="Arial"/>
          <w:sz w:val="20"/>
          <w:szCs w:val="20"/>
        </w:rPr>
      </w:pPr>
    </w:p>
    <w:p w14:paraId="2D92EA0A" w14:textId="1D9913C8" w:rsidR="00A1563F" w:rsidRPr="00A1563F" w:rsidRDefault="00A1563F" w:rsidP="00A1563F">
      <w:pPr>
        <w:spacing w:after="0" w:line="240" w:lineRule="auto"/>
        <w:jc w:val="both"/>
        <w:rPr>
          <w:rFonts w:ascii="Verdana" w:hAnsi="Verdana" w:cs="Arial"/>
          <w:sz w:val="20"/>
          <w:szCs w:val="20"/>
        </w:rPr>
      </w:pPr>
      <w:r w:rsidRPr="00A1563F">
        <w:rPr>
          <w:rFonts w:ascii="Verdana" w:hAnsi="Verdana" w:cs="Arial"/>
          <w:sz w:val="20"/>
          <w:szCs w:val="20"/>
        </w:rPr>
        <w:t xml:space="preserve">CUADRO INSUMO PRODUCTO (CIP): </w:t>
      </w:r>
      <w:r w:rsidRPr="00A1563F">
        <w:rPr>
          <w:rFonts w:ascii="Verdana" w:hAnsi="Verdana" w:cs="Arial"/>
          <w:color w:val="333333"/>
          <w:sz w:val="20"/>
          <w:szCs w:val="20"/>
        </w:rPr>
        <w:t>Es el documento por medio del cual se demuestra la participación de los bienes importados del artículo 3º del Decreto 1567 de 2015, en los bienes finales contenidos en las subpartidas arancelarias listadas en el artículo 7º del presente decreto.</w:t>
      </w:r>
    </w:p>
    <w:p w14:paraId="78295447" w14:textId="77777777" w:rsidR="00A1563F" w:rsidRPr="00A1563F" w:rsidRDefault="00A1563F" w:rsidP="00A1563F">
      <w:pPr>
        <w:spacing w:after="0" w:line="240" w:lineRule="auto"/>
        <w:jc w:val="both"/>
        <w:rPr>
          <w:rFonts w:ascii="Verdana" w:hAnsi="Verdana" w:cs="Arial"/>
          <w:sz w:val="20"/>
          <w:szCs w:val="20"/>
        </w:rPr>
      </w:pPr>
    </w:p>
    <w:p w14:paraId="64930F0B" w14:textId="137621BC" w:rsidR="00A1563F" w:rsidRPr="00A1563F" w:rsidRDefault="00A1563F" w:rsidP="00A1563F">
      <w:pPr>
        <w:spacing w:after="0" w:line="240" w:lineRule="auto"/>
        <w:jc w:val="both"/>
        <w:rPr>
          <w:rFonts w:ascii="Verdana" w:hAnsi="Verdana" w:cs="Arial"/>
          <w:sz w:val="20"/>
          <w:szCs w:val="20"/>
        </w:rPr>
      </w:pPr>
      <w:r w:rsidRPr="00A1563F">
        <w:rPr>
          <w:rFonts w:ascii="Verdana" w:hAnsi="Verdana" w:cs="Arial"/>
          <w:sz w:val="20"/>
          <w:szCs w:val="20"/>
        </w:rPr>
        <w:t xml:space="preserve">PROGRAMA GENERAL: </w:t>
      </w:r>
      <w:r w:rsidRPr="00A1563F">
        <w:rPr>
          <w:rFonts w:ascii="Verdana" w:hAnsi="Verdana" w:cs="Arial"/>
          <w:color w:val="333333"/>
          <w:sz w:val="20"/>
          <w:szCs w:val="20"/>
        </w:rPr>
        <w:t>Es la autorización general que otorga el Ministerio de Comercio, Industria y Turismo a la persona jurídica beneficiaria del Programa de Fomento para la Industria Automotriz.</w:t>
      </w:r>
    </w:p>
    <w:p w14:paraId="78B4FE85" w14:textId="77777777" w:rsidR="00A1563F" w:rsidRPr="00A1563F" w:rsidRDefault="00A1563F" w:rsidP="00A1563F">
      <w:pPr>
        <w:spacing w:after="0" w:line="240" w:lineRule="auto"/>
        <w:jc w:val="both"/>
        <w:rPr>
          <w:rFonts w:ascii="Verdana" w:hAnsi="Verdana" w:cs="Arial"/>
          <w:sz w:val="20"/>
          <w:szCs w:val="20"/>
        </w:rPr>
      </w:pPr>
    </w:p>
    <w:p w14:paraId="5295393D" w14:textId="51F1288F" w:rsidR="00A1563F" w:rsidRPr="00A1563F" w:rsidRDefault="00A1563F" w:rsidP="00A1563F">
      <w:pPr>
        <w:spacing w:after="0" w:line="240" w:lineRule="auto"/>
        <w:jc w:val="both"/>
        <w:rPr>
          <w:rFonts w:ascii="Verdana" w:hAnsi="Verdana" w:cs="Arial"/>
          <w:color w:val="333333"/>
          <w:sz w:val="20"/>
          <w:szCs w:val="20"/>
        </w:rPr>
      </w:pPr>
      <w:r w:rsidRPr="00A1563F">
        <w:rPr>
          <w:rFonts w:ascii="Verdana" w:hAnsi="Verdana" w:cs="Arial"/>
          <w:sz w:val="20"/>
          <w:szCs w:val="20"/>
        </w:rPr>
        <w:t xml:space="preserve">SUBPROGRAMA: </w:t>
      </w:r>
      <w:r w:rsidRPr="00A1563F">
        <w:rPr>
          <w:rFonts w:ascii="Verdana" w:hAnsi="Verdana" w:cs="Arial"/>
          <w:color w:val="333333"/>
          <w:sz w:val="20"/>
          <w:szCs w:val="20"/>
        </w:rPr>
        <w:t>Es la autorización específica que otorga el Ministerio de Comercio, Industria y Turismo al tipo, referencia y marca de la autoparte que fabricará, o al modelo, variante o versión del vehículo que ensamblará el beneficiario, y que corresponderá al cuadro insumo producto presentado ante la Unidad Administrativa Especial Dirección de Impuestos y Aduanas Nacionales (DIAN).</w:t>
      </w:r>
    </w:p>
    <w:p w14:paraId="2BADC73F" w14:textId="44C198CC" w:rsidR="00A1563F" w:rsidRPr="00A1563F" w:rsidRDefault="00A1563F" w:rsidP="00A1563F">
      <w:pPr>
        <w:spacing w:after="0" w:line="240" w:lineRule="auto"/>
        <w:jc w:val="both"/>
        <w:rPr>
          <w:rFonts w:ascii="Verdana" w:hAnsi="Verdana" w:cs="Arial"/>
          <w:color w:val="333333"/>
          <w:sz w:val="20"/>
          <w:szCs w:val="20"/>
        </w:rPr>
      </w:pPr>
    </w:p>
    <w:p w14:paraId="4B5E1F3F" w14:textId="1D3B3FAD" w:rsidR="00A1563F" w:rsidRPr="00A1563F" w:rsidRDefault="00A1563F" w:rsidP="00A1563F">
      <w:pPr>
        <w:spacing w:after="0" w:line="240" w:lineRule="auto"/>
        <w:jc w:val="both"/>
        <w:rPr>
          <w:rFonts w:ascii="Verdana" w:hAnsi="Verdana" w:cs="Arial"/>
          <w:color w:val="333333"/>
          <w:sz w:val="20"/>
          <w:szCs w:val="20"/>
        </w:rPr>
      </w:pPr>
      <w:r w:rsidRPr="00A1563F">
        <w:rPr>
          <w:rFonts w:ascii="Verdana" w:hAnsi="Verdana" w:cs="Arial"/>
          <w:sz w:val="20"/>
          <w:szCs w:val="20"/>
        </w:rPr>
        <w:lastRenderedPageBreak/>
        <w:t xml:space="preserve">COMITÉ: </w:t>
      </w:r>
      <w:r w:rsidRPr="00A1563F">
        <w:rPr>
          <w:rFonts w:ascii="Verdana" w:hAnsi="Verdana" w:cs="Arial"/>
          <w:color w:val="333333"/>
          <w:sz w:val="20"/>
          <w:szCs w:val="20"/>
        </w:rPr>
        <w:t>Escenario para el análisis de las objeciones a la propuesta de codificación numérica única de los bienes que al amparo del programa de fomento para la industria automotriz pretende importar el solicitante, publicada por la Subdirección de Diseño y Administración de Operaciones.</w:t>
      </w:r>
    </w:p>
    <w:p w14:paraId="050685BA" w14:textId="77777777" w:rsidR="00A1563F" w:rsidRPr="00A1563F" w:rsidRDefault="00A1563F" w:rsidP="00A1563F">
      <w:pPr>
        <w:spacing w:after="0" w:line="240" w:lineRule="auto"/>
        <w:jc w:val="both"/>
        <w:rPr>
          <w:rFonts w:ascii="Verdana" w:hAnsi="Verdana" w:cs="Arial"/>
          <w:sz w:val="20"/>
          <w:szCs w:val="20"/>
        </w:rPr>
      </w:pPr>
    </w:p>
    <w:p w14:paraId="60B74033" w14:textId="171208C8" w:rsidR="00EA0826" w:rsidRPr="00A1563F" w:rsidRDefault="00A570F6" w:rsidP="00A1563F">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A1563F">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F34B605" w14:textId="77777777" w:rsidR="00A1563F" w:rsidRPr="00A1563F"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0B957161" w14:textId="0002A383" w:rsidR="00900199" w:rsidRPr="00A1563F" w:rsidRDefault="00900199" w:rsidP="00A1563F">
      <w:pPr>
        <w:spacing w:after="0" w:line="240" w:lineRule="auto"/>
        <w:rPr>
          <w:rFonts w:ascii="Verdana" w:hAnsi="Verdana" w:cs="Arial"/>
          <w:bCs/>
          <w:sz w:val="18"/>
          <w:szCs w:val="20"/>
          <w:lang w:val="es-MX"/>
        </w:rPr>
      </w:pPr>
      <w:r w:rsidRPr="00A1563F">
        <w:rPr>
          <w:rFonts w:ascii="Verdana" w:hAnsi="Verdana" w:cs="Arial"/>
          <w:bCs/>
          <w:sz w:val="20"/>
          <w:szCs w:val="20"/>
          <w:lang w:val="es-MX"/>
        </w:rPr>
        <w:br/>
      </w:r>
      <w:r w:rsidR="00A1563F" w:rsidRPr="00A1563F">
        <w:rPr>
          <w:rFonts w:ascii="Verdana" w:hAnsi="Verdana"/>
          <w:b/>
          <w:bCs/>
          <w:color w:val="000000"/>
          <w:sz w:val="20"/>
        </w:rPr>
        <w:t>4.2. MARCO LEGAL DEL PROGRAMA DE FOMENTO PARA LA INDUSTRIA AUTOMOTRIZ - PROFIA</w:t>
      </w:r>
      <w:r w:rsidR="00A1563F" w:rsidRPr="00A1563F">
        <w:rPr>
          <w:rFonts w:ascii="Verdana" w:hAnsi="Verdana"/>
          <w:color w:val="000000"/>
          <w:sz w:val="20"/>
        </w:rPr>
        <w:br/>
      </w:r>
      <w:r w:rsidR="00A1563F" w:rsidRPr="00A1563F">
        <w:rPr>
          <w:rFonts w:ascii="Verdana" w:hAnsi="Verdana"/>
          <w:color w:val="000000"/>
          <w:sz w:val="20"/>
        </w:rPr>
        <w:br/>
        <w:t>Decreto 1567 del 31 de julio de 2015, que modifica el Programa de Fomento para la Industria Automotriz y autoriza al beneficiario del Programa a importar con franquicia o exoneración del gravamen arancelario las mercancías o bienes, con el compromiso de incorporarlos en la producción de vehículos o autopartes para la venta en el mercado nacional o externo.</w:t>
      </w:r>
      <w:r w:rsidR="00A1563F" w:rsidRPr="00A1563F">
        <w:rPr>
          <w:rFonts w:ascii="Verdana" w:hAnsi="Verdana"/>
          <w:color w:val="000000"/>
          <w:sz w:val="20"/>
        </w:rPr>
        <w:br/>
      </w:r>
      <w:r w:rsidR="00A1563F" w:rsidRPr="00A1563F">
        <w:rPr>
          <w:rFonts w:ascii="Verdana" w:hAnsi="Verdana"/>
          <w:color w:val="000000"/>
          <w:sz w:val="20"/>
        </w:rPr>
        <w:br/>
        <w:t>Resolución 3429 del 12 de noviembre de 2015, que reglamenta el Decreto 1567 del 31 de julio de 2015. Contiene el procedimiento interno para el trámite de las solicitudes de autorización del Programa de Fomento para la Industria Automotriz, y reglamenta la metodología de control para la asignación del código numérico único.</w:t>
      </w:r>
      <w:r w:rsidR="00A1563F" w:rsidRPr="00A1563F">
        <w:rPr>
          <w:rFonts w:ascii="Verdana" w:hAnsi="Verdana"/>
          <w:color w:val="000000"/>
          <w:sz w:val="20"/>
        </w:rPr>
        <w:br/>
      </w:r>
      <w:r w:rsidR="00A1563F" w:rsidRPr="00A1563F">
        <w:rPr>
          <w:rFonts w:ascii="Verdana" w:hAnsi="Verdana"/>
          <w:color w:val="000000"/>
          <w:sz w:val="20"/>
        </w:rPr>
        <w:br/>
        <w:t>Resolución 00035 de 12 de junio de 2017 DIAN, Por la cual se reglamenta el decreto 1567 del 31 de julio de 2015, correspondiente al Programa de Fomento para la Industria Automotriz y se dictan otras disposiciones.</w:t>
      </w:r>
      <w:r w:rsidR="00A1563F" w:rsidRPr="00A1563F">
        <w:rPr>
          <w:rFonts w:ascii="Verdana" w:hAnsi="Verdana"/>
          <w:color w:val="000000"/>
          <w:sz w:val="20"/>
        </w:rPr>
        <w:br/>
      </w:r>
      <w:r w:rsidR="00A1563F" w:rsidRPr="00A1563F">
        <w:rPr>
          <w:rFonts w:ascii="Verdana" w:hAnsi="Verdana"/>
          <w:color w:val="000000"/>
          <w:sz w:val="20"/>
        </w:rPr>
        <w:br/>
      </w:r>
      <w:r w:rsidR="00A1563F" w:rsidRPr="00A1563F">
        <w:rPr>
          <w:rFonts w:ascii="Verdana" w:hAnsi="Verdana"/>
          <w:b/>
          <w:bCs/>
          <w:color w:val="000000"/>
          <w:sz w:val="20"/>
        </w:rPr>
        <w:t>4.3. TRÁMITE SOLICITUDES DE AUTORIZACIÓN PROFIA</w:t>
      </w:r>
      <w:r w:rsidR="00A1563F" w:rsidRPr="00A1563F">
        <w:rPr>
          <w:rFonts w:ascii="Verdana" w:hAnsi="Verdana"/>
          <w:color w:val="000000"/>
          <w:sz w:val="20"/>
        </w:rPr>
        <w:br/>
      </w:r>
      <w:r w:rsidR="00A1563F" w:rsidRPr="00A1563F">
        <w:rPr>
          <w:rFonts w:ascii="Verdana" w:hAnsi="Verdana"/>
          <w:color w:val="000000"/>
          <w:sz w:val="20"/>
        </w:rPr>
        <w:br/>
      </w:r>
      <w:r w:rsidR="00A1563F" w:rsidRPr="00A1563F">
        <w:rPr>
          <w:rFonts w:ascii="Verdana" w:hAnsi="Verdana"/>
          <w:b/>
          <w:bCs/>
          <w:color w:val="000000"/>
          <w:sz w:val="20"/>
        </w:rPr>
        <w:t>4.3.1 DIRECCIÓN DE PRODUCTIVIDAD Y COMPETITIVIDAD</w:t>
      </w:r>
      <w:r w:rsidR="00A1563F" w:rsidRPr="00A1563F">
        <w:rPr>
          <w:rFonts w:ascii="Verdana" w:hAnsi="Verdana"/>
          <w:color w:val="000000"/>
          <w:sz w:val="20"/>
        </w:rPr>
        <w:br/>
      </w:r>
      <w:r w:rsidR="00A1563F" w:rsidRPr="00A1563F">
        <w:rPr>
          <w:rFonts w:ascii="Verdana" w:hAnsi="Verdana"/>
          <w:color w:val="000000"/>
          <w:sz w:val="20"/>
        </w:rPr>
        <w:br/>
        <w:t>Tramita las solicitudes de otorgamiento del Programa de Fomento para la Industria Automotriz - PROFIA, mediante su revisión y análisis; solicita los conceptos a la DIAN y a la Subdirección de Diseño y Administración de Operaciones de la Dirección de Comercio Exterior; convoca al Comité cuando quiera que se presente controversia sobre la propuesta de codificación y de concepto de existencia de producción nacional del bien, publicada por la Subdirección de Diseño y Administración de Operaciones; y decide las respectivas solicitudes.</w:t>
      </w:r>
      <w:r w:rsidR="00A1563F" w:rsidRPr="00A1563F">
        <w:rPr>
          <w:rFonts w:ascii="Verdana" w:hAnsi="Verdana"/>
          <w:color w:val="000000"/>
          <w:sz w:val="20"/>
        </w:rPr>
        <w:br/>
      </w:r>
      <w:r w:rsidR="00A1563F" w:rsidRPr="00A1563F">
        <w:rPr>
          <w:rFonts w:ascii="Verdana" w:hAnsi="Verdana"/>
          <w:color w:val="000000"/>
          <w:sz w:val="20"/>
        </w:rPr>
        <w:br/>
      </w:r>
      <w:r w:rsidR="00A1563F" w:rsidRPr="00A1563F">
        <w:rPr>
          <w:rFonts w:ascii="Verdana" w:hAnsi="Verdana"/>
          <w:b/>
          <w:bCs/>
          <w:color w:val="000000"/>
          <w:sz w:val="20"/>
        </w:rPr>
        <w:t>4.3.2 REQUISITOS DEL ACTO ADMINISTRATIVO DE OTORGAMIENTO DEL PROGRAMA DE FOMENTO PARA LA INDUSTRIA AUTOMOTRIZ</w:t>
      </w:r>
      <w:r w:rsidR="00A1563F" w:rsidRPr="00A1563F">
        <w:rPr>
          <w:rFonts w:ascii="Verdana" w:hAnsi="Verdana"/>
          <w:color w:val="000000"/>
          <w:sz w:val="20"/>
        </w:rPr>
        <w:br/>
      </w:r>
      <w:r w:rsidR="00A1563F" w:rsidRPr="00A1563F">
        <w:rPr>
          <w:rFonts w:ascii="Verdana" w:hAnsi="Verdana"/>
          <w:color w:val="000000"/>
          <w:sz w:val="20"/>
        </w:rPr>
        <w:br/>
        <w:t>El acto administrativo que otorga el Programa de Fomento para la Industria Automotriz debe contener por lo menos la información descrita en el artículo 8 de la Resolución 3429 del 12 de noviembre de 2015 del Ministerio de Comercio Industria y Turismo.</w:t>
      </w:r>
      <w:r w:rsidR="00A1563F" w:rsidRPr="00A1563F">
        <w:rPr>
          <w:rFonts w:ascii="Verdana" w:hAnsi="Verdana"/>
          <w:color w:val="000000"/>
          <w:sz w:val="20"/>
        </w:rPr>
        <w:br/>
      </w:r>
      <w:r w:rsidR="00A1563F" w:rsidRPr="00A1563F">
        <w:rPr>
          <w:rFonts w:ascii="Verdana" w:hAnsi="Verdana"/>
          <w:color w:val="000000"/>
          <w:sz w:val="20"/>
        </w:rPr>
        <w:br/>
        <w:t>Una vez otorgado el Programa de Fomento para la Industria Automotriz las solicitudes de autorización tanto de importación de bienes como de subprograma la amparo del programa otorgado, se deciden mediante actos administrativos que de ninguna manera afectan el acto administrativo que otorgó el programa y las demás posteriores que se expidan con ocasión de las solicitudes de autorización de importación o subprogramas.</w:t>
      </w:r>
      <w:r w:rsidR="00A1563F" w:rsidRPr="00A1563F">
        <w:rPr>
          <w:rFonts w:ascii="Verdana" w:hAnsi="Verdana"/>
          <w:color w:val="000000"/>
          <w:sz w:val="20"/>
        </w:rPr>
        <w:br/>
      </w:r>
      <w:r w:rsidR="00A1563F" w:rsidRPr="00A1563F">
        <w:rPr>
          <w:rFonts w:ascii="Verdana" w:hAnsi="Verdana"/>
          <w:color w:val="000000"/>
          <w:sz w:val="20"/>
        </w:rPr>
        <w:br/>
        <w:t xml:space="preserve">De acuerdo con el artículo 9, de la Resolución 3429 de 2015, la Dirección de Productividad y </w:t>
      </w:r>
      <w:r w:rsidR="00A1563F" w:rsidRPr="00A1563F">
        <w:rPr>
          <w:rFonts w:ascii="Verdana" w:hAnsi="Verdana"/>
          <w:color w:val="000000"/>
          <w:sz w:val="20"/>
        </w:rPr>
        <w:lastRenderedPageBreak/>
        <w:t>Competitividad decidirá la solicitud de inclusión de nuevas plantas de producción en el Programa autorizado mediante acto administrativo que adicionara la resolución que lo otorgó.</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0529C2B2" w:rsidR="00BB1B01" w:rsidRDefault="0068318E" w:rsidP="0068318E">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2E1ED904" wp14:editId="2166EB6A">
            <wp:extent cx="6858000" cy="5473700"/>
            <wp:effectExtent l="0" t="0" r="0" b="0"/>
            <wp:docPr id="1070807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0744" name="Imagen 107080744"/>
                    <pic:cNvPicPr/>
                  </pic:nvPicPr>
                  <pic:blipFill>
                    <a:blip r:embed="rId12">
                      <a:extLst>
                        <a:ext uri="{28A0092B-C50C-407E-A947-70E740481C1C}">
                          <a14:useLocalDpi xmlns:a14="http://schemas.microsoft.com/office/drawing/2010/main" val="0"/>
                        </a:ext>
                      </a:extLst>
                    </a:blip>
                    <a:stretch>
                      <a:fillRect/>
                    </a:stretch>
                  </pic:blipFill>
                  <pic:spPr>
                    <a:xfrm>
                      <a:off x="0" y="0"/>
                      <a:ext cx="6858000" cy="5473700"/>
                    </a:xfrm>
                    <a:prstGeom prst="rect">
                      <a:avLst/>
                    </a:prstGeom>
                  </pic:spPr>
                </pic:pic>
              </a:graphicData>
            </a:graphic>
          </wp:inline>
        </w:drawing>
      </w:r>
    </w:p>
    <w:p w14:paraId="5A5D878E" w14:textId="484FF9EB" w:rsidR="00BB1B01" w:rsidRPr="00EB3B4C" w:rsidRDefault="00BB1B01" w:rsidP="00EB3B4C">
      <w:pPr>
        <w:spacing w:after="0" w:line="240" w:lineRule="auto"/>
        <w:rPr>
          <w:rFonts w:ascii="Verdana" w:eastAsia="Arial" w:hAnsi="Verdana" w:cs="Arial"/>
          <w:bCs/>
          <w:color w:val="00B050"/>
          <w:sz w:val="16"/>
          <w:szCs w:val="16"/>
        </w:rPr>
      </w:pP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55"/>
        <w:gridCol w:w="1726"/>
        <w:gridCol w:w="5726"/>
        <w:gridCol w:w="1388"/>
      </w:tblGrid>
      <w:tr w:rsidR="00DA19DE" w:rsidRPr="00666AB9" w14:paraId="127FA709" w14:textId="77777777" w:rsidTr="00AA2234">
        <w:trPr>
          <w:trHeight w:val="17"/>
          <w:tblHeader/>
        </w:trPr>
        <w:tc>
          <w:tcPr>
            <w:tcW w:w="49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45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14"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438"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38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A1563F" w:rsidRPr="00666AB9" w14:paraId="63F6096D" w14:textId="77777777" w:rsidTr="009F2603">
        <w:trPr>
          <w:trHeight w:val="545"/>
        </w:trPr>
        <w:tc>
          <w:tcPr>
            <w:tcW w:w="10790" w:type="dxa"/>
            <w:gridSpan w:val="5"/>
            <w:tcBorders>
              <w:bottom w:val="single" w:sz="4" w:space="0" w:color="auto"/>
            </w:tcBorders>
            <w:tcMar>
              <w:top w:w="57" w:type="dxa"/>
              <w:left w:w="113" w:type="dxa"/>
              <w:bottom w:w="57" w:type="dxa"/>
            </w:tcMar>
            <w:vAlign w:val="center"/>
          </w:tcPr>
          <w:p w14:paraId="18FE0442" w14:textId="0E219DD6" w:rsidR="00A1563F" w:rsidRPr="009F2603" w:rsidRDefault="00A1563F" w:rsidP="003033FD">
            <w:pPr>
              <w:spacing w:after="0" w:line="240" w:lineRule="auto"/>
              <w:ind w:left="-15"/>
              <w:jc w:val="center"/>
              <w:rPr>
                <w:rFonts w:ascii="Verdana" w:hAnsi="Verdana" w:cs="Arial"/>
                <w:sz w:val="16"/>
                <w:szCs w:val="16"/>
              </w:rPr>
            </w:pPr>
            <w:r w:rsidRPr="009F2603">
              <w:rPr>
                <w:rFonts w:ascii="Verdana" w:hAnsi="Verdana" w:cs="Arial"/>
                <w:b/>
                <w:bCs/>
                <w:color w:val="000000"/>
                <w:sz w:val="16"/>
                <w:szCs w:val="16"/>
              </w:rPr>
              <w:t>I. RECEPCIÓN Y REVISIÓN DE LAS SOLICTUDES DE AUTORIZACIÓN DE PROFIA</w:t>
            </w:r>
          </w:p>
        </w:tc>
      </w:tr>
      <w:tr w:rsidR="00A1563F" w:rsidRPr="00666AB9" w14:paraId="46094324" w14:textId="77777777" w:rsidTr="00C6229A">
        <w:trPr>
          <w:trHeight w:val="3420"/>
        </w:trPr>
        <w:tc>
          <w:tcPr>
            <w:tcW w:w="495" w:type="dxa"/>
            <w:tcBorders>
              <w:bottom w:val="single" w:sz="4" w:space="0" w:color="auto"/>
            </w:tcBorders>
            <w:tcMar>
              <w:top w:w="57" w:type="dxa"/>
              <w:left w:w="113" w:type="dxa"/>
              <w:bottom w:w="57" w:type="dxa"/>
            </w:tcMar>
            <w:vAlign w:val="center"/>
          </w:tcPr>
          <w:p w14:paraId="14AA9208" w14:textId="6C61A32D" w:rsidR="00A1563F" w:rsidRPr="009F2603" w:rsidRDefault="00A1563F" w:rsidP="003033FD">
            <w:pPr>
              <w:spacing w:after="0" w:line="240" w:lineRule="auto"/>
              <w:ind w:left="-15"/>
              <w:jc w:val="center"/>
              <w:rPr>
                <w:rFonts w:ascii="Verdana" w:hAnsi="Verdana" w:cs="Arial"/>
                <w:b/>
                <w:sz w:val="16"/>
                <w:szCs w:val="16"/>
              </w:rPr>
            </w:pPr>
            <w:r w:rsidRPr="009F2603">
              <w:rPr>
                <w:rFonts w:ascii="Verdana" w:hAnsi="Verdana" w:cs="Arial"/>
                <w:b/>
                <w:sz w:val="16"/>
                <w:szCs w:val="16"/>
              </w:rPr>
              <w:t>1</w:t>
            </w:r>
          </w:p>
        </w:tc>
        <w:tc>
          <w:tcPr>
            <w:tcW w:w="1455" w:type="dxa"/>
            <w:tcBorders>
              <w:bottom w:val="single" w:sz="4" w:space="0" w:color="auto"/>
            </w:tcBorders>
            <w:tcMar>
              <w:top w:w="57" w:type="dxa"/>
              <w:left w:w="113" w:type="dxa"/>
              <w:bottom w:w="57" w:type="dxa"/>
            </w:tcMar>
            <w:vAlign w:val="center"/>
          </w:tcPr>
          <w:p w14:paraId="6EB1012A" w14:textId="7A653BFD" w:rsidR="00A1563F" w:rsidRPr="00C6229A" w:rsidRDefault="00A1563F" w:rsidP="00C6229A">
            <w:pPr>
              <w:jc w:val="center"/>
              <w:rPr>
                <w:rFonts w:ascii="Verdana" w:hAnsi="Verdana" w:cs="Arial"/>
                <w:color w:val="000000"/>
                <w:sz w:val="16"/>
                <w:szCs w:val="16"/>
              </w:rPr>
            </w:pPr>
            <w:r w:rsidRPr="009F2603">
              <w:rPr>
                <w:rFonts w:ascii="Verdana" w:hAnsi="Verdana" w:cs="Arial"/>
                <w:color w:val="000000"/>
                <w:sz w:val="16"/>
                <w:szCs w:val="16"/>
              </w:rPr>
              <w:t>(P) Definir estrategia para asumir la gestión de las solicitudes radicadas de otorgamiento del Programa de Fomento para la Industria Automotriz y otras peticiones derivadas</w:t>
            </w:r>
          </w:p>
        </w:tc>
        <w:tc>
          <w:tcPr>
            <w:tcW w:w="2014" w:type="dxa"/>
            <w:tcBorders>
              <w:bottom w:val="single" w:sz="4" w:space="0" w:color="auto"/>
            </w:tcBorders>
            <w:tcMar>
              <w:top w:w="57" w:type="dxa"/>
              <w:left w:w="113" w:type="dxa"/>
              <w:bottom w:w="57" w:type="dxa"/>
            </w:tcMar>
            <w:vAlign w:val="center"/>
          </w:tcPr>
          <w:p w14:paraId="1786944F" w14:textId="1255F781" w:rsidR="00A1563F" w:rsidRPr="009F2603" w:rsidRDefault="00A1563F" w:rsidP="003033FD">
            <w:pPr>
              <w:spacing w:after="0" w:line="240" w:lineRule="auto"/>
              <w:ind w:left="-15"/>
              <w:jc w:val="center"/>
              <w:rPr>
                <w:rFonts w:ascii="Verdana" w:hAnsi="Verdana" w:cs="Arial"/>
                <w:sz w:val="16"/>
                <w:szCs w:val="16"/>
              </w:rPr>
            </w:pPr>
            <w:r w:rsidRPr="009F2603">
              <w:rPr>
                <w:rFonts w:ascii="Verdana" w:hAnsi="Verdana" w:cs="Arial"/>
                <w:color w:val="000000"/>
                <w:sz w:val="16"/>
                <w:szCs w:val="16"/>
              </w:rPr>
              <w:t>Asesor o profesional especializado encargado</w:t>
            </w:r>
          </w:p>
        </w:tc>
        <w:tc>
          <w:tcPr>
            <w:tcW w:w="5438" w:type="dxa"/>
            <w:tcBorders>
              <w:bottom w:val="single" w:sz="4" w:space="0" w:color="auto"/>
            </w:tcBorders>
            <w:tcMar>
              <w:top w:w="57" w:type="dxa"/>
              <w:left w:w="113" w:type="dxa"/>
              <w:bottom w:w="57" w:type="dxa"/>
            </w:tcMar>
          </w:tcPr>
          <w:p w14:paraId="20F44B7B" w14:textId="35CADE6D" w:rsidR="00A1563F" w:rsidRPr="009F2603" w:rsidRDefault="00A1563F" w:rsidP="618C038B">
            <w:pPr>
              <w:spacing w:after="0" w:line="240" w:lineRule="auto"/>
              <w:ind w:left="-15"/>
              <w:jc w:val="both"/>
              <w:rPr>
                <w:rFonts w:ascii="Verdana" w:hAnsi="Verdana" w:cs="Arial"/>
                <w:sz w:val="16"/>
                <w:szCs w:val="16"/>
              </w:rPr>
            </w:pPr>
            <w:r w:rsidRPr="009F2603">
              <w:rPr>
                <w:rFonts w:ascii="Verdana" w:hAnsi="Verdana" w:cs="Arial"/>
                <w:color w:val="000000"/>
                <w:sz w:val="16"/>
                <w:szCs w:val="16"/>
              </w:rPr>
              <w:t>En relación con el número de solicitudes, una de las reglas de atención para gestionarlas, está establecida por orden de llegada.</w:t>
            </w:r>
            <w:r w:rsidRPr="009F2603">
              <w:rPr>
                <w:rFonts w:ascii="Verdana" w:hAnsi="Verdana" w:cs="Arial"/>
                <w:color w:val="000000"/>
                <w:sz w:val="16"/>
                <w:szCs w:val="16"/>
              </w:rPr>
              <w:br/>
            </w:r>
            <w:r w:rsidRPr="009F2603">
              <w:rPr>
                <w:rFonts w:ascii="Verdana" w:hAnsi="Verdana" w:cs="Arial"/>
                <w:b/>
                <w:color w:val="000000"/>
                <w:sz w:val="16"/>
                <w:szCs w:val="16"/>
              </w:rPr>
              <w:t>Nota:</w:t>
            </w:r>
            <w:r w:rsidRPr="009F2603">
              <w:rPr>
                <w:rFonts w:ascii="Verdana" w:hAnsi="Verdana" w:cs="Arial"/>
                <w:color w:val="000000"/>
                <w:sz w:val="16"/>
                <w:szCs w:val="16"/>
              </w:rPr>
              <w:t xml:space="preserve"> El número de radicado del expediente será el asignado por el grupo de Correspondencia y Archivo al momento de su recibo.</w:t>
            </w:r>
            <w:r w:rsidRPr="009F2603">
              <w:rPr>
                <w:rFonts w:ascii="Verdana" w:hAnsi="Verdana" w:cs="Arial"/>
                <w:color w:val="000000"/>
                <w:sz w:val="16"/>
                <w:szCs w:val="16"/>
              </w:rPr>
              <w:br/>
            </w:r>
            <w:r w:rsidRPr="009F2603">
              <w:rPr>
                <w:rFonts w:ascii="Verdana" w:hAnsi="Verdana" w:cs="Arial"/>
                <w:bCs/>
                <w:color w:val="000000"/>
                <w:sz w:val="16"/>
                <w:szCs w:val="16"/>
              </w:rPr>
              <w:t>Ti</w:t>
            </w:r>
            <w:r w:rsidR="009F2603">
              <w:rPr>
                <w:rFonts w:ascii="Verdana" w:hAnsi="Verdana" w:cs="Arial"/>
                <w:bCs/>
                <w:color w:val="000000"/>
                <w:sz w:val="16"/>
                <w:szCs w:val="16"/>
              </w:rPr>
              <w:t>e</w:t>
            </w:r>
            <w:r w:rsidRPr="009F2603">
              <w:rPr>
                <w:rFonts w:ascii="Verdana" w:hAnsi="Verdana" w:cs="Arial"/>
                <w:bCs/>
                <w:color w:val="000000"/>
                <w:sz w:val="16"/>
                <w:szCs w:val="16"/>
              </w:rPr>
              <w:t>mpo:</w:t>
            </w:r>
            <w:r w:rsidRPr="009F2603">
              <w:rPr>
                <w:rFonts w:ascii="Verdana" w:hAnsi="Verdana" w:cs="Arial"/>
                <w:color w:val="000000"/>
                <w:sz w:val="16"/>
                <w:szCs w:val="16"/>
              </w:rPr>
              <w:t> 1 día.</w:t>
            </w:r>
          </w:p>
        </w:tc>
        <w:tc>
          <w:tcPr>
            <w:tcW w:w="1388" w:type="dxa"/>
            <w:tcBorders>
              <w:bottom w:val="single" w:sz="4" w:space="0" w:color="auto"/>
            </w:tcBorders>
            <w:tcMar>
              <w:top w:w="57" w:type="dxa"/>
              <w:left w:w="113" w:type="dxa"/>
              <w:bottom w:w="57" w:type="dxa"/>
            </w:tcMar>
            <w:vAlign w:val="center"/>
          </w:tcPr>
          <w:p w14:paraId="57006AAD" w14:textId="1A4B63A9" w:rsidR="00A1563F" w:rsidRPr="009F2603" w:rsidRDefault="00A1563F" w:rsidP="003033FD">
            <w:pPr>
              <w:spacing w:after="0" w:line="240" w:lineRule="auto"/>
              <w:ind w:left="-15"/>
              <w:jc w:val="center"/>
              <w:rPr>
                <w:rFonts w:ascii="Verdana" w:hAnsi="Verdana" w:cs="Arial"/>
                <w:sz w:val="16"/>
                <w:szCs w:val="16"/>
              </w:rPr>
            </w:pPr>
            <w:r w:rsidRPr="009F2603">
              <w:rPr>
                <w:rFonts w:ascii="Verdana" w:hAnsi="Verdana" w:cs="Arial"/>
                <w:color w:val="000000"/>
                <w:sz w:val="16"/>
                <w:szCs w:val="16"/>
              </w:rPr>
              <w:t>Expediente de la Solicitud de Autorización del programa de fomento para la industria automotriz</w:t>
            </w:r>
          </w:p>
        </w:tc>
      </w:tr>
      <w:tr w:rsidR="00DA19DE" w:rsidRPr="00666AB9" w14:paraId="1607CFEA" w14:textId="77777777" w:rsidTr="00AA2234">
        <w:trPr>
          <w:trHeight w:val="17"/>
        </w:trPr>
        <w:tc>
          <w:tcPr>
            <w:tcW w:w="495" w:type="dxa"/>
            <w:tcMar>
              <w:top w:w="57" w:type="dxa"/>
              <w:left w:w="113" w:type="dxa"/>
              <w:bottom w:w="57" w:type="dxa"/>
            </w:tcMar>
            <w:vAlign w:val="center"/>
          </w:tcPr>
          <w:p w14:paraId="70D4964D" w14:textId="5773F521" w:rsidR="00DA19DE" w:rsidRPr="009F2603" w:rsidRDefault="00AD5DB2"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2</w:t>
            </w:r>
          </w:p>
        </w:tc>
        <w:tc>
          <w:tcPr>
            <w:tcW w:w="1455" w:type="dxa"/>
            <w:tcMar>
              <w:top w:w="57" w:type="dxa"/>
              <w:left w:w="113" w:type="dxa"/>
              <w:bottom w:w="57" w:type="dxa"/>
            </w:tcMar>
            <w:vAlign w:val="center"/>
          </w:tcPr>
          <w:p w14:paraId="2F0BC84B" w14:textId="77777777" w:rsidR="00A1563F" w:rsidRPr="009F2603" w:rsidRDefault="00A1563F" w:rsidP="00A1563F">
            <w:pPr>
              <w:jc w:val="center"/>
              <w:rPr>
                <w:rFonts w:ascii="Verdana" w:hAnsi="Verdana" w:cs="Arial"/>
                <w:color w:val="000000"/>
                <w:sz w:val="16"/>
                <w:szCs w:val="16"/>
              </w:rPr>
            </w:pPr>
            <w:r w:rsidRPr="009F2603">
              <w:rPr>
                <w:rFonts w:ascii="Verdana" w:hAnsi="Verdana" w:cs="Arial"/>
                <w:color w:val="000000"/>
                <w:sz w:val="16"/>
                <w:szCs w:val="16"/>
              </w:rPr>
              <w:br/>
              <w:t>(H-V) Analizar las solicitudes y verificar si cumplen o no con los requisitos previstos en la normatividad</w:t>
            </w:r>
          </w:p>
          <w:p w14:paraId="269703E8" w14:textId="0F97BC7B" w:rsidR="00DA19DE" w:rsidRPr="009F2603" w:rsidRDefault="00DA19DE" w:rsidP="007341F5">
            <w:pPr>
              <w:spacing w:after="0" w:line="240" w:lineRule="auto"/>
              <w:jc w:val="center"/>
              <w:rPr>
                <w:rFonts w:ascii="Verdana" w:hAnsi="Verdana" w:cs="Arial"/>
                <w:sz w:val="16"/>
                <w:szCs w:val="16"/>
              </w:rPr>
            </w:pPr>
          </w:p>
        </w:tc>
        <w:tc>
          <w:tcPr>
            <w:tcW w:w="2014" w:type="dxa"/>
            <w:tcMar>
              <w:top w:w="57" w:type="dxa"/>
              <w:left w:w="113" w:type="dxa"/>
              <w:bottom w:w="57" w:type="dxa"/>
            </w:tcMar>
            <w:vAlign w:val="center"/>
          </w:tcPr>
          <w:p w14:paraId="0F2984B5" w14:textId="62815DB5" w:rsidR="00DA19DE" w:rsidRPr="009F2603" w:rsidRDefault="00A1563F" w:rsidP="003033FD">
            <w:pPr>
              <w:spacing w:after="0" w:line="240" w:lineRule="auto"/>
              <w:rPr>
                <w:rFonts w:ascii="Verdana" w:hAnsi="Verdana" w:cs="Arial"/>
                <w:sz w:val="16"/>
                <w:szCs w:val="16"/>
              </w:rPr>
            </w:pPr>
            <w:r w:rsidRPr="009F2603">
              <w:rPr>
                <w:rFonts w:ascii="Verdana" w:hAnsi="Verdana" w:cs="Arial"/>
                <w:color w:val="000000"/>
                <w:sz w:val="16"/>
                <w:szCs w:val="16"/>
              </w:rPr>
              <w:t>Asesor o profesional especializado encargado</w:t>
            </w:r>
          </w:p>
        </w:tc>
        <w:tc>
          <w:tcPr>
            <w:tcW w:w="5438" w:type="dxa"/>
            <w:tcMar>
              <w:top w:w="57" w:type="dxa"/>
              <w:left w:w="113" w:type="dxa"/>
              <w:bottom w:w="57" w:type="dxa"/>
            </w:tcMar>
          </w:tcPr>
          <w:p w14:paraId="2BDFFC76" w14:textId="77777777" w:rsidR="00DA19DE" w:rsidRPr="009F2603" w:rsidRDefault="00A1563F" w:rsidP="009F2603">
            <w:pPr>
              <w:spacing w:after="0" w:line="240" w:lineRule="auto"/>
              <w:rPr>
                <w:rFonts w:ascii="Verdana" w:hAnsi="Verdana" w:cs="Arial"/>
                <w:color w:val="000000"/>
                <w:sz w:val="16"/>
                <w:szCs w:val="16"/>
              </w:rPr>
            </w:pPr>
            <w:r w:rsidRPr="009F2603">
              <w:rPr>
                <w:rFonts w:ascii="Verdana" w:hAnsi="Verdana" w:cs="Arial"/>
                <w:color w:val="000000"/>
                <w:sz w:val="16"/>
                <w:szCs w:val="16"/>
              </w:rPr>
              <w:t>Estudiar el contenido de las solicitudes de cara a la normatividad vigente, en especial:</w:t>
            </w:r>
            <w:r w:rsidRPr="009F2603">
              <w:rPr>
                <w:rFonts w:ascii="Verdana" w:hAnsi="Verdana" w:cs="Arial"/>
                <w:color w:val="000000"/>
                <w:sz w:val="16"/>
                <w:szCs w:val="16"/>
              </w:rPr>
              <w:br/>
              <w:t>. Si la solicitud la presenta una persona jurídica cuyo objeto social consista en ensamblar vehículos o producir autopartes para estos.</w:t>
            </w:r>
            <w:r w:rsidRPr="009F2603">
              <w:rPr>
                <w:rFonts w:ascii="Verdana" w:hAnsi="Verdana" w:cs="Arial"/>
                <w:color w:val="000000"/>
                <w:sz w:val="16"/>
                <w:szCs w:val="16"/>
              </w:rPr>
              <w:br/>
              <w:t>. Si los bienes objeto de importación están dentro de las subpartidas listada en el art 3 del decreto 1567 de 2015</w:t>
            </w:r>
            <w:r w:rsidRPr="009F2603">
              <w:rPr>
                <w:rFonts w:ascii="Verdana" w:hAnsi="Verdana" w:cs="Arial"/>
                <w:color w:val="000000"/>
                <w:sz w:val="16"/>
                <w:szCs w:val="16"/>
              </w:rPr>
              <w:br/>
              <w:t xml:space="preserve">. Si los bienes a producir están dentro de las </w:t>
            </w:r>
            <w:proofErr w:type="spellStart"/>
            <w:r w:rsidRPr="009F2603">
              <w:rPr>
                <w:rFonts w:ascii="Verdana" w:hAnsi="Verdana" w:cs="Arial"/>
                <w:color w:val="000000"/>
                <w:sz w:val="16"/>
                <w:szCs w:val="16"/>
              </w:rPr>
              <w:t>subpatrtidas</w:t>
            </w:r>
            <w:proofErr w:type="spellEnd"/>
            <w:r w:rsidRPr="009F2603">
              <w:rPr>
                <w:rFonts w:ascii="Verdana" w:hAnsi="Verdana" w:cs="Arial"/>
                <w:color w:val="000000"/>
                <w:sz w:val="16"/>
                <w:szCs w:val="16"/>
              </w:rPr>
              <w:t xml:space="preserve"> Art. 7 decreto de 1567</w:t>
            </w:r>
            <w:r w:rsidRPr="009F2603">
              <w:rPr>
                <w:rFonts w:ascii="Verdana" w:hAnsi="Verdana" w:cs="Arial"/>
                <w:color w:val="000000"/>
                <w:sz w:val="16"/>
                <w:szCs w:val="16"/>
              </w:rPr>
              <w:br/>
              <w:t>. Si el solicitante tiene un régimen de transformación y ensamble</w:t>
            </w:r>
            <w:r w:rsidRPr="009F2603">
              <w:rPr>
                <w:rFonts w:ascii="Verdana" w:hAnsi="Verdana" w:cs="Arial"/>
                <w:color w:val="000000"/>
                <w:sz w:val="16"/>
                <w:szCs w:val="16"/>
              </w:rPr>
              <w:br/>
              <w:t>. Si la documentación está actualizada</w:t>
            </w:r>
            <w:r w:rsidRPr="009F2603">
              <w:rPr>
                <w:rFonts w:ascii="Verdana" w:hAnsi="Verdana" w:cs="Arial"/>
                <w:color w:val="000000"/>
                <w:sz w:val="16"/>
                <w:szCs w:val="16"/>
              </w:rPr>
              <w:br/>
              <w:t>. Si el solicitante allega los RUT del representante legal. Miembros de la junta directiva y los demás indicados en la norma.</w:t>
            </w:r>
            <w:r w:rsidRPr="009F2603">
              <w:rPr>
                <w:rFonts w:ascii="Verdana" w:hAnsi="Verdana" w:cs="Arial"/>
                <w:color w:val="000000"/>
                <w:sz w:val="16"/>
                <w:szCs w:val="16"/>
              </w:rPr>
              <w:br/>
              <w:t>Simultáneamente verificar dentro de los tres (3) días siguientes a la radicación de la solicitud el cumplimiento de los requisitos exigidos para su trámite.</w:t>
            </w:r>
            <w:r w:rsidRPr="009F2603">
              <w:rPr>
                <w:rFonts w:ascii="Verdana" w:hAnsi="Verdana" w:cs="Arial"/>
                <w:color w:val="000000"/>
                <w:sz w:val="16"/>
                <w:szCs w:val="16"/>
              </w:rPr>
              <w:br/>
              <w:t>Si la solicitud no cumple con la totalidad de los requisitos, se requiere al peticionario, para que en un plazo máximo de 30 días hábiles contados a partir de la fecha de recepción del oficio efectúe los respectivos ajustes y complete la información faltante. La copia firmada y radicada del requerimiento se enviará por medio físico a través del grupo de Correspondencia y Archivo del MinCIT</w:t>
            </w:r>
            <w:r w:rsidRPr="009F2603">
              <w:rPr>
                <w:rFonts w:ascii="Verdana" w:hAnsi="Verdana" w:cs="Arial"/>
                <w:color w:val="000000"/>
                <w:sz w:val="16"/>
                <w:szCs w:val="16"/>
              </w:rPr>
              <w:br/>
              <w:t>Si el peticionario no responde en el plazo establecido, se entiende que desiste de la solicitud, salvo que solicite prorroga antes de su vencimiento. La prórroga solo procede por una sola vez.</w:t>
            </w:r>
            <w:r w:rsidRPr="009F2603">
              <w:rPr>
                <w:rFonts w:ascii="Verdana" w:hAnsi="Verdana" w:cs="Arial"/>
                <w:color w:val="000000"/>
                <w:sz w:val="16"/>
                <w:szCs w:val="16"/>
              </w:rPr>
              <w:br/>
              <w:t>Si el solicitante cumple con los requerimientos, se continúa con el procedimiento</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1 a 60 días.</w:t>
            </w:r>
          </w:p>
          <w:p w14:paraId="6BC621A6" w14:textId="2A556EC6" w:rsidR="00A1563F" w:rsidRPr="009F2603" w:rsidRDefault="00A1563F" w:rsidP="009F2603">
            <w:pPr>
              <w:spacing w:after="0" w:line="240" w:lineRule="auto"/>
              <w:rPr>
                <w:rFonts w:ascii="Verdana" w:hAnsi="Verdana" w:cs="Arial"/>
                <w:b/>
                <w:sz w:val="16"/>
                <w:szCs w:val="16"/>
              </w:rPr>
            </w:pPr>
            <w:r w:rsidRPr="009F2603">
              <w:rPr>
                <w:rFonts w:ascii="Verdana" w:hAnsi="Verdana" w:cs="Arial"/>
                <w:b/>
                <w:color w:val="000000"/>
                <w:sz w:val="16"/>
                <w:szCs w:val="16"/>
              </w:rPr>
              <w:t>Control DE-R6</w:t>
            </w:r>
          </w:p>
        </w:tc>
        <w:tc>
          <w:tcPr>
            <w:tcW w:w="1388" w:type="dxa"/>
            <w:tcMar>
              <w:top w:w="57" w:type="dxa"/>
              <w:left w:w="113" w:type="dxa"/>
              <w:bottom w:w="57" w:type="dxa"/>
            </w:tcMar>
            <w:vAlign w:val="center"/>
          </w:tcPr>
          <w:p w14:paraId="2B05BBF1" w14:textId="4DB7D0CB" w:rsidR="00DA19DE" w:rsidRPr="009F2603" w:rsidRDefault="00A1563F" w:rsidP="003033FD">
            <w:pPr>
              <w:spacing w:after="0" w:line="240" w:lineRule="auto"/>
              <w:jc w:val="center"/>
              <w:rPr>
                <w:rFonts w:ascii="Verdana" w:hAnsi="Verdana" w:cs="Arial"/>
                <w:sz w:val="16"/>
                <w:szCs w:val="16"/>
              </w:rPr>
            </w:pPr>
            <w:r w:rsidRPr="009F2603">
              <w:rPr>
                <w:rFonts w:ascii="Verdana" w:hAnsi="Verdana" w:cs="Arial"/>
                <w:color w:val="000000"/>
                <w:sz w:val="16"/>
                <w:szCs w:val="16"/>
              </w:rPr>
              <w:t>Oficio</w:t>
            </w:r>
          </w:p>
        </w:tc>
      </w:tr>
      <w:tr w:rsidR="00851992" w:rsidRPr="00666AB9" w14:paraId="59543128" w14:textId="77777777" w:rsidTr="00AA2234">
        <w:trPr>
          <w:trHeight w:val="17"/>
        </w:trPr>
        <w:tc>
          <w:tcPr>
            <w:tcW w:w="495" w:type="dxa"/>
            <w:tcMar>
              <w:top w:w="57" w:type="dxa"/>
              <w:left w:w="113" w:type="dxa"/>
              <w:bottom w:w="57" w:type="dxa"/>
            </w:tcMar>
            <w:vAlign w:val="center"/>
          </w:tcPr>
          <w:p w14:paraId="64DDAE3B" w14:textId="3185BF51" w:rsidR="00851992"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3</w:t>
            </w:r>
          </w:p>
        </w:tc>
        <w:tc>
          <w:tcPr>
            <w:tcW w:w="1455" w:type="dxa"/>
            <w:tcMar>
              <w:top w:w="57" w:type="dxa"/>
              <w:left w:w="113" w:type="dxa"/>
              <w:bottom w:w="57" w:type="dxa"/>
            </w:tcMar>
            <w:vAlign w:val="center"/>
          </w:tcPr>
          <w:p w14:paraId="2771F489" w14:textId="4EFF3714" w:rsidR="00851992" w:rsidRPr="009F2603" w:rsidRDefault="00A1563F"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Solicitar conceptos a la DIAN.</w:t>
            </w:r>
          </w:p>
        </w:tc>
        <w:tc>
          <w:tcPr>
            <w:tcW w:w="2014" w:type="dxa"/>
            <w:tcMar>
              <w:top w:w="57" w:type="dxa"/>
              <w:left w:w="113" w:type="dxa"/>
              <w:bottom w:w="57" w:type="dxa"/>
            </w:tcMar>
            <w:vAlign w:val="center"/>
          </w:tcPr>
          <w:p w14:paraId="59BF0336" w14:textId="4AB95CFA" w:rsidR="00851992" w:rsidRPr="009F2603" w:rsidRDefault="00A1563F"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0FEB077C" w14:textId="73CD2CFD" w:rsidR="00851992" w:rsidRPr="009F2603" w:rsidRDefault="00A1563F" w:rsidP="00AF2851">
            <w:pPr>
              <w:spacing w:after="0" w:line="240" w:lineRule="auto"/>
              <w:rPr>
                <w:rFonts w:ascii="Verdana" w:hAnsi="Verdana" w:cs="Arial"/>
                <w:sz w:val="16"/>
                <w:szCs w:val="16"/>
              </w:rPr>
            </w:pPr>
            <w:r w:rsidRPr="009F2603">
              <w:rPr>
                <w:rFonts w:ascii="Verdana" w:hAnsi="Verdana" w:cs="Arial"/>
                <w:color w:val="000000"/>
                <w:sz w:val="16"/>
                <w:szCs w:val="16"/>
              </w:rPr>
              <w:t xml:space="preserve">Proyecta oficios para firma de la Directora de Productividad y </w:t>
            </w:r>
            <w:proofErr w:type="spellStart"/>
            <w:r w:rsidRPr="009F2603">
              <w:rPr>
                <w:rFonts w:ascii="Verdana" w:hAnsi="Verdana" w:cs="Arial"/>
                <w:color w:val="000000"/>
                <w:sz w:val="16"/>
                <w:szCs w:val="16"/>
              </w:rPr>
              <w:t>Competividad</w:t>
            </w:r>
            <w:proofErr w:type="spellEnd"/>
            <w:r w:rsidRPr="009F2603">
              <w:rPr>
                <w:rFonts w:ascii="Verdana" w:hAnsi="Verdana" w:cs="Arial"/>
                <w:color w:val="000000"/>
                <w:sz w:val="16"/>
                <w:szCs w:val="16"/>
              </w:rPr>
              <w:t xml:space="preserve"> solicitando a la DIAN los conceptos exigidos en los literales a), b) y c) del artículo 11 del decreto 1567 de 2015. Los </w:t>
            </w:r>
            <w:r w:rsidRPr="009F2603">
              <w:rPr>
                <w:rFonts w:ascii="Verdana" w:hAnsi="Verdana" w:cs="Arial"/>
                <w:color w:val="000000"/>
                <w:sz w:val="16"/>
                <w:szCs w:val="16"/>
              </w:rPr>
              <w:lastRenderedPageBreak/>
              <w:t>oficios firmados se enviarán por medio físico a través del grupo de Correspondencia y Archivo del MinCIT y del servicio virtual de la DIAN, PQSR y Denuncias http://www.dian.gov.co/contenidos/servicios/quejas_y_soluciones.html</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1 día.</w:t>
            </w:r>
          </w:p>
        </w:tc>
        <w:tc>
          <w:tcPr>
            <w:tcW w:w="1388" w:type="dxa"/>
            <w:tcMar>
              <w:top w:w="57" w:type="dxa"/>
              <w:left w:w="113" w:type="dxa"/>
              <w:bottom w:w="57" w:type="dxa"/>
            </w:tcMar>
            <w:vAlign w:val="center"/>
          </w:tcPr>
          <w:p w14:paraId="468AE3DB" w14:textId="275702E7" w:rsidR="00851992" w:rsidRPr="009F2603" w:rsidRDefault="00A1563F" w:rsidP="003033FD">
            <w:pPr>
              <w:spacing w:after="0" w:line="240" w:lineRule="auto"/>
              <w:jc w:val="center"/>
              <w:rPr>
                <w:rFonts w:ascii="Verdana" w:hAnsi="Verdana" w:cs="Arial"/>
                <w:sz w:val="16"/>
                <w:szCs w:val="16"/>
              </w:rPr>
            </w:pPr>
            <w:r w:rsidRPr="009F2603">
              <w:rPr>
                <w:rFonts w:ascii="Verdana" w:hAnsi="Verdana" w:cs="Arial"/>
                <w:color w:val="000000"/>
                <w:sz w:val="16"/>
                <w:szCs w:val="16"/>
              </w:rPr>
              <w:lastRenderedPageBreak/>
              <w:t>Oficio y correo electrónico*</w:t>
            </w:r>
          </w:p>
        </w:tc>
      </w:tr>
      <w:tr w:rsidR="00851992" w:rsidRPr="00666AB9" w14:paraId="0302327A" w14:textId="77777777" w:rsidTr="00AA2234">
        <w:trPr>
          <w:trHeight w:val="17"/>
        </w:trPr>
        <w:tc>
          <w:tcPr>
            <w:tcW w:w="495" w:type="dxa"/>
            <w:tcMar>
              <w:top w:w="57" w:type="dxa"/>
              <w:left w:w="113" w:type="dxa"/>
              <w:bottom w:w="57" w:type="dxa"/>
            </w:tcMar>
            <w:vAlign w:val="center"/>
          </w:tcPr>
          <w:p w14:paraId="6F62E092" w14:textId="730944FD" w:rsidR="00851992"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4</w:t>
            </w:r>
          </w:p>
        </w:tc>
        <w:tc>
          <w:tcPr>
            <w:tcW w:w="1455" w:type="dxa"/>
            <w:tcMar>
              <w:top w:w="57" w:type="dxa"/>
              <w:left w:w="113" w:type="dxa"/>
              <w:bottom w:w="57" w:type="dxa"/>
            </w:tcMar>
            <w:vAlign w:val="center"/>
          </w:tcPr>
          <w:p w14:paraId="0B7E1F92" w14:textId="77777777" w:rsidR="00A1563F" w:rsidRPr="009F2603" w:rsidRDefault="00A1563F" w:rsidP="00A1563F">
            <w:pPr>
              <w:jc w:val="center"/>
              <w:rPr>
                <w:rFonts w:ascii="Verdana" w:hAnsi="Verdana" w:cs="Arial"/>
                <w:color w:val="000000"/>
                <w:sz w:val="16"/>
                <w:szCs w:val="16"/>
              </w:rPr>
            </w:pPr>
            <w:r w:rsidRPr="009F2603">
              <w:rPr>
                <w:rFonts w:ascii="Verdana" w:hAnsi="Verdana" w:cs="Arial"/>
                <w:color w:val="000000"/>
                <w:sz w:val="16"/>
                <w:szCs w:val="16"/>
              </w:rPr>
              <w:br/>
              <w:t>(H) Evaluar conceptos recibidos de la DIAN</w:t>
            </w:r>
          </w:p>
          <w:p w14:paraId="3F4E2E06" w14:textId="31AB6C8C" w:rsidR="00851992" w:rsidRPr="009F2603" w:rsidRDefault="00851992" w:rsidP="005A3044">
            <w:pPr>
              <w:jc w:val="center"/>
              <w:rPr>
                <w:rFonts w:ascii="Verdana" w:hAnsi="Verdana" w:cs="Arial"/>
                <w:color w:val="000000"/>
                <w:sz w:val="16"/>
                <w:szCs w:val="16"/>
              </w:rPr>
            </w:pPr>
          </w:p>
        </w:tc>
        <w:tc>
          <w:tcPr>
            <w:tcW w:w="2014" w:type="dxa"/>
            <w:tcMar>
              <w:top w:w="57" w:type="dxa"/>
              <w:left w:w="113" w:type="dxa"/>
              <w:bottom w:w="57" w:type="dxa"/>
            </w:tcMar>
            <w:vAlign w:val="center"/>
          </w:tcPr>
          <w:p w14:paraId="35486A7B" w14:textId="0D7E9750" w:rsidR="00851992" w:rsidRPr="009F2603" w:rsidRDefault="00A1563F" w:rsidP="003033FD">
            <w:pPr>
              <w:spacing w:after="0" w:line="240" w:lineRule="auto"/>
              <w:rPr>
                <w:rFonts w:ascii="Verdana" w:hAnsi="Verdana" w:cs="Arial"/>
                <w:sz w:val="16"/>
                <w:szCs w:val="16"/>
              </w:rPr>
            </w:pPr>
            <w:r w:rsidRPr="009F2603">
              <w:rPr>
                <w:rFonts w:ascii="Verdana" w:hAnsi="Verdana" w:cs="Arial"/>
                <w:color w:val="000000"/>
                <w:sz w:val="16"/>
                <w:szCs w:val="16"/>
              </w:rPr>
              <w:t>Asesor o profesional especializado encargado</w:t>
            </w:r>
          </w:p>
        </w:tc>
        <w:tc>
          <w:tcPr>
            <w:tcW w:w="5438" w:type="dxa"/>
            <w:tcMar>
              <w:top w:w="57" w:type="dxa"/>
              <w:left w:w="113" w:type="dxa"/>
              <w:bottom w:w="57" w:type="dxa"/>
            </w:tcMar>
          </w:tcPr>
          <w:p w14:paraId="3629C368" w14:textId="316C160A" w:rsidR="00851992" w:rsidRPr="009F2603" w:rsidRDefault="00A1563F" w:rsidP="009F2603">
            <w:pPr>
              <w:spacing w:after="0" w:line="240" w:lineRule="auto"/>
              <w:ind w:left="94"/>
              <w:rPr>
                <w:rFonts w:ascii="Verdana" w:hAnsi="Verdana" w:cs="Arial"/>
                <w:sz w:val="16"/>
                <w:szCs w:val="16"/>
              </w:rPr>
            </w:pPr>
            <w:r w:rsidRPr="009F2603">
              <w:rPr>
                <w:rFonts w:ascii="Verdana" w:hAnsi="Verdana" w:cs="Arial"/>
                <w:color w:val="000000"/>
                <w:sz w:val="16"/>
                <w:szCs w:val="16"/>
              </w:rPr>
              <w:t>Evalúa los conceptos emitidos por la DIAN a fin de establecer si se ajusta a lo dispuesto en el artículo 11 literales b) y c) del Decreto 1567 de 2015.</w:t>
            </w:r>
            <w:r w:rsidRPr="009F2603">
              <w:rPr>
                <w:rFonts w:ascii="Verdana" w:hAnsi="Verdana" w:cs="Arial"/>
                <w:color w:val="000000"/>
                <w:sz w:val="16"/>
                <w:szCs w:val="16"/>
              </w:rPr>
              <w:br/>
              <w:t>De no ser favorables los conceptos emitidos por la DIAN, la Dirección de Productividad y Competitividad comunicará al peticionario para que inicie el trámite que corresponda ante la DIAN, para lo cual dispone del término de (1) mes. Vencido este término sin que el peticionario cumpla el requerimiento, la Dirección de Productividad y Competitividad decretara el desistimiento y el archivo del expediente mediante acto administrativo motivado que se notificara personalmente, contra el cual procede únicamente recurso de reposición (artículo 17 de la ley 1755 de 2015).</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2 meses.</w:t>
            </w:r>
          </w:p>
        </w:tc>
        <w:tc>
          <w:tcPr>
            <w:tcW w:w="1388" w:type="dxa"/>
            <w:tcMar>
              <w:top w:w="57" w:type="dxa"/>
              <w:left w:w="113" w:type="dxa"/>
              <w:bottom w:w="57" w:type="dxa"/>
            </w:tcMar>
            <w:vAlign w:val="center"/>
          </w:tcPr>
          <w:p w14:paraId="7B3A34A2" w14:textId="18776CA4" w:rsidR="00851992" w:rsidRPr="009F2603" w:rsidRDefault="00A1563F" w:rsidP="003033FD">
            <w:pPr>
              <w:spacing w:after="0" w:line="240" w:lineRule="auto"/>
              <w:jc w:val="center"/>
              <w:rPr>
                <w:rFonts w:ascii="Verdana" w:hAnsi="Verdana" w:cs="Arial"/>
                <w:sz w:val="16"/>
                <w:szCs w:val="16"/>
              </w:rPr>
            </w:pPr>
            <w:r w:rsidRPr="009F2603">
              <w:rPr>
                <w:rFonts w:ascii="Verdana" w:hAnsi="Verdana" w:cs="Arial"/>
                <w:color w:val="000000"/>
                <w:sz w:val="16"/>
                <w:szCs w:val="16"/>
              </w:rPr>
              <w:t>Correo electrónico*</w:t>
            </w:r>
          </w:p>
        </w:tc>
      </w:tr>
      <w:tr w:rsidR="00851992" w:rsidRPr="00666AB9" w14:paraId="3D1A3EAA" w14:textId="77777777" w:rsidTr="00C6229A">
        <w:trPr>
          <w:trHeight w:val="1392"/>
        </w:trPr>
        <w:tc>
          <w:tcPr>
            <w:tcW w:w="495" w:type="dxa"/>
            <w:tcMar>
              <w:top w:w="57" w:type="dxa"/>
              <w:left w:w="113" w:type="dxa"/>
              <w:bottom w:w="57" w:type="dxa"/>
            </w:tcMar>
            <w:vAlign w:val="center"/>
          </w:tcPr>
          <w:p w14:paraId="49120E2B" w14:textId="45A89173" w:rsidR="00851992"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5</w:t>
            </w:r>
          </w:p>
        </w:tc>
        <w:tc>
          <w:tcPr>
            <w:tcW w:w="1455" w:type="dxa"/>
            <w:tcMar>
              <w:top w:w="57" w:type="dxa"/>
              <w:left w:w="113" w:type="dxa"/>
              <w:bottom w:w="57" w:type="dxa"/>
            </w:tcMar>
            <w:vAlign w:val="center"/>
          </w:tcPr>
          <w:p w14:paraId="54B66787" w14:textId="0BDBD062" w:rsidR="00851992" w:rsidRPr="009F2603" w:rsidRDefault="00A1563F"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Solicitar propuesta de codificación numérica única de los bienes a Importar</w:t>
            </w:r>
          </w:p>
        </w:tc>
        <w:tc>
          <w:tcPr>
            <w:tcW w:w="2014" w:type="dxa"/>
            <w:tcMar>
              <w:top w:w="57" w:type="dxa"/>
              <w:left w:w="113" w:type="dxa"/>
              <w:bottom w:w="57" w:type="dxa"/>
            </w:tcMar>
            <w:vAlign w:val="center"/>
          </w:tcPr>
          <w:p w14:paraId="74AE9310" w14:textId="213FD870" w:rsidR="00851992" w:rsidRPr="009F2603" w:rsidRDefault="00A1563F"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684CB1AA" w14:textId="7C504E64" w:rsidR="00851992" w:rsidRPr="009F2603" w:rsidRDefault="00A1563F" w:rsidP="00C6229A">
            <w:pPr>
              <w:spacing w:after="0" w:line="240" w:lineRule="auto"/>
              <w:rPr>
                <w:rFonts w:ascii="Verdana" w:hAnsi="Verdana" w:cs="Arial"/>
                <w:color w:val="000000"/>
                <w:sz w:val="16"/>
                <w:szCs w:val="16"/>
              </w:rPr>
            </w:pPr>
            <w:r w:rsidRPr="009F2603">
              <w:rPr>
                <w:rFonts w:ascii="Verdana" w:hAnsi="Verdana" w:cs="Arial"/>
                <w:color w:val="000000"/>
                <w:sz w:val="16"/>
                <w:szCs w:val="16"/>
              </w:rPr>
              <w:t>Solicitar propuesta de codificación numérica única de los bienes a importar de acuerdo con la metodología establecida en la Resolución 3429 de 2015 del MinCIT a la Subdirección de Diseño y Administración de Operaciones de la Dirección de Comercio Exterior.</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8 días.</w:t>
            </w:r>
          </w:p>
        </w:tc>
        <w:tc>
          <w:tcPr>
            <w:tcW w:w="1388" w:type="dxa"/>
            <w:tcMar>
              <w:top w:w="57" w:type="dxa"/>
              <w:left w:w="113" w:type="dxa"/>
              <w:bottom w:w="57" w:type="dxa"/>
            </w:tcMar>
            <w:vAlign w:val="center"/>
          </w:tcPr>
          <w:p w14:paraId="6148B37A" w14:textId="000B4AA8" w:rsidR="00851992"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Memorando*</w:t>
            </w:r>
          </w:p>
        </w:tc>
      </w:tr>
      <w:tr w:rsidR="00851992" w:rsidRPr="00666AB9" w14:paraId="30D6DC68" w14:textId="77777777" w:rsidTr="00AA2234">
        <w:trPr>
          <w:trHeight w:val="17"/>
        </w:trPr>
        <w:tc>
          <w:tcPr>
            <w:tcW w:w="495" w:type="dxa"/>
            <w:tcMar>
              <w:top w:w="57" w:type="dxa"/>
              <w:left w:w="113" w:type="dxa"/>
              <w:bottom w:w="57" w:type="dxa"/>
            </w:tcMar>
            <w:vAlign w:val="center"/>
          </w:tcPr>
          <w:p w14:paraId="2F11E41F" w14:textId="6EE0C636" w:rsidR="00851992"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6</w:t>
            </w:r>
          </w:p>
        </w:tc>
        <w:tc>
          <w:tcPr>
            <w:tcW w:w="1455" w:type="dxa"/>
            <w:tcMar>
              <w:top w:w="57" w:type="dxa"/>
              <w:left w:w="113" w:type="dxa"/>
              <w:bottom w:w="57" w:type="dxa"/>
            </w:tcMar>
            <w:vAlign w:val="center"/>
          </w:tcPr>
          <w:p w14:paraId="5C6932E1" w14:textId="4CCD77FF" w:rsidR="00851992"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Recibir propuesta codificación numérica única y el concepto de producción del bien y las manifestaciones presentadas durante la publicación por los productores nacionales si las hubiere.</w:t>
            </w:r>
          </w:p>
        </w:tc>
        <w:tc>
          <w:tcPr>
            <w:tcW w:w="2014" w:type="dxa"/>
            <w:tcMar>
              <w:top w:w="57" w:type="dxa"/>
              <w:left w:w="113" w:type="dxa"/>
              <w:bottom w:w="57" w:type="dxa"/>
            </w:tcMar>
            <w:vAlign w:val="center"/>
          </w:tcPr>
          <w:p w14:paraId="4AD1D5BA" w14:textId="6857469E" w:rsidR="00851992"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5B5E8BF9" w14:textId="77777777" w:rsidR="009F2603" w:rsidRPr="009F2603" w:rsidRDefault="009F2603" w:rsidP="009F2603">
            <w:pPr>
              <w:rPr>
                <w:rFonts w:ascii="Verdana" w:hAnsi="Verdana" w:cs="Arial"/>
                <w:color w:val="000000"/>
                <w:sz w:val="16"/>
                <w:szCs w:val="16"/>
              </w:rPr>
            </w:pPr>
            <w:r w:rsidRPr="009F2603">
              <w:rPr>
                <w:rFonts w:ascii="Verdana" w:hAnsi="Verdana" w:cs="Arial"/>
                <w:color w:val="000000"/>
                <w:sz w:val="16"/>
                <w:szCs w:val="16"/>
              </w:rPr>
              <w:t>Recibir propuesta codificación numérica única y el concepto de producción del bien y las manifestaciones presentadas durante la publicación por los productores nacionales si las hubiere, de no existir controversias ir a la actividad 8.</w:t>
            </w:r>
          </w:p>
          <w:p w14:paraId="6F01214D" w14:textId="0482677E" w:rsidR="00851992" w:rsidRPr="00C6229A" w:rsidRDefault="009F2603" w:rsidP="00C6229A">
            <w:pPr>
              <w:rPr>
                <w:rFonts w:ascii="Verdana" w:hAnsi="Verdana" w:cs="Arial"/>
                <w:color w:val="000000"/>
                <w:sz w:val="16"/>
                <w:szCs w:val="16"/>
              </w:rPr>
            </w:pPr>
            <w:r w:rsidRPr="009F2603">
              <w:rPr>
                <w:rFonts w:ascii="Verdana" w:hAnsi="Verdana" w:cs="Arial"/>
                <w:color w:val="000000"/>
                <w:sz w:val="16"/>
                <w:szCs w:val="16"/>
              </w:rPr>
              <w:t>Si se presentan controversia respecto de la propuesta de codificación presentada por la subdirección de diseño y administración de operaciones, ir a la actividad 7.</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1 día.</w:t>
            </w:r>
          </w:p>
        </w:tc>
        <w:tc>
          <w:tcPr>
            <w:tcW w:w="1388" w:type="dxa"/>
            <w:tcMar>
              <w:top w:w="57" w:type="dxa"/>
              <w:left w:w="113" w:type="dxa"/>
              <w:bottom w:w="57" w:type="dxa"/>
            </w:tcMar>
            <w:vAlign w:val="center"/>
          </w:tcPr>
          <w:p w14:paraId="196773EC" w14:textId="54C02441" w:rsidR="00851992"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Memorando*</w:t>
            </w:r>
          </w:p>
        </w:tc>
      </w:tr>
      <w:tr w:rsidR="00E93440" w:rsidRPr="00666AB9" w14:paraId="0BF65009" w14:textId="77777777" w:rsidTr="00AA2234">
        <w:trPr>
          <w:trHeight w:val="17"/>
        </w:trPr>
        <w:tc>
          <w:tcPr>
            <w:tcW w:w="495" w:type="dxa"/>
            <w:tcMar>
              <w:top w:w="57" w:type="dxa"/>
              <w:left w:w="113" w:type="dxa"/>
              <w:bottom w:w="57" w:type="dxa"/>
            </w:tcMar>
            <w:vAlign w:val="center"/>
          </w:tcPr>
          <w:p w14:paraId="212D96C6" w14:textId="4020F2DD" w:rsidR="00E93440"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7</w:t>
            </w:r>
          </w:p>
        </w:tc>
        <w:tc>
          <w:tcPr>
            <w:tcW w:w="1455" w:type="dxa"/>
            <w:tcMar>
              <w:top w:w="57" w:type="dxa"/>
              <w:left w:w="113" w:type="dxa"/>
              <w:bottom w:w="57" w:type="dxa"/>
            </w:tcMar>
            <w:vAlign w:val="center"/>
          </w:tcPr>
          <w:p w14:paraId="6CFE009F" w14:textId="1F202EA7" w:rsidR="00E93440"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Convocar al Comité</w:t>
            </w:r>
          </w:p>
        </w:tc>
        <w:tc>
          <w:tcPr>
            <w:tcW w:w="2014" w:type="dxa"/>
            <w:tcMar>
              <w:top w:w="57" w:type="dxa"/>
              <w:left w:w="113" w:type="dxa"/>
              <w:bottom w:w="57" w:type="dxa"/>
            </w:tcMar>
            <w:vAlign w:val="center"/>
          </w:tcPr>
          <w:p w14:paraId="676AB3AB" w14:textId="565A16B6" w:rsidR="00E93440"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 Asesor o profesional especializado encargado</w:t>
            </w:r>
          </w:p>
        </w:tc>
        <w:tc>
          <w:tcPr>
            <w:tcW w:w="5438" w:type="dxa"/>
            <w:tcMar>
              <w:top w:w="57" w:type="dxa"/>
              <w:left w:w="113" w:type="dxa"/>
              <w:bottom w:w="57" w:type="dxa"/>
            </w:tcMar>
          </w:tcPr>
          <w:p w14:paraId="037B9425" w14:textId="16E81031" w:rsidR="00585793" w:rsidRPr="009F2603" w:rsidRDefault="009F2603" w:rsidP="009F2603">
            <w:pPr>
              <w:spacing w:after="0" w:line="240" w:lineRule="auto"/>
              <w:rPr>
                <w:rFonts w:ascii="Verdana" w:hAnsi="Verdana" w:cs="Arial"/>
                <w:b/>
                <w:bCs/>
                <w:sz w:val="16"/>
                <w:szCs w:val="16"/>
              </w:rPr>
            </w:pPr>
            <w:r w:rsidRPr="009F2603">
              <w:rPr>
                <w:rFonts w:ascii="Verdana" w:hAnsi="Verdana" w:cs="Arial"/>
                <w:color w:val="000000"/>
                <w:sz w:val="16"/>
                <w:szCs w:val="16"/>
              </w:rPr>
              <w:t>De presentarse controversia respecto de la propuesta de codificación presentada por la subdirección de diseño y administración de operaciones, dentro de los cinco (5) días posteriores al recibo del resultado de su publicación, el director de productividad y competitividad convocará al comité integrado de acuerdo con lo dispuesto en el artículo 12 del Decreto 1567 de 2015.</w:t>
            </w:r>
            <w:r w:rsidRPr="009F2603">
              <w:rPr>
                <w:rFonts w:ascii="Verdana" w:hAnsi="Verdana" w:cs="Arial"/>
                <w:color w:val="000000"/>
                <w:sz w:val="16"/>
                <w:szCs w:val="16"/>
              </w:rPr>
              <w:br/>
              <w:t>Se levanta acta de la reunión, que incorporará las recomendaciones del Comité, remite copia de la misma a la Subdirección de Diseño y Administración de Operaciones de la Dirección de Comercio Exterior para que proceda de conformidad con la recomendación favorable del Comité.</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8 días</w:t>
            </w:r>
          </w:p>
        </w:tc>
        <w:tc>
          <w:tcPr>
            <w:tcW w:w="1388" w:type="dxa"/>
            <w:tcMar>
              <w:top w:w="57" w:type="dxa"/>
              <w:left w:w="113" w:type="dxa"/>
              <w:bottom w:w="57" w:type="dxa"/>
            </w:tcMar>
            <w:vAlign w:val="center"/>
          </w:tcPr>
          <w:p w14:paraId="36EF0DEF" w14:textId="2F9910F4" w:rsidR="00E93440"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Correo electrónico*, Acta del Comité</w:t>
            </w:r>
          </w:p>
        </w:tc>
      </w:tr>
      <w:tr w:rsidR="00E93440" w:rsidRPr="00666AB9" w14:paraId="79B91E95" w14:textId="77777777" w:rsidTr="00AA2234">
        <w:trPr>
          <w:trHeight w:val="17"/>
        </w:trPr>
        <w:tc>
          <w:tcPr>
            <w:tcW w:w="495" w:type="dxa"/>
            <w:tcMar>
              <w:top w:w="57" w:type="dxa"/>
              <w:left w:w="113" w:type="dxa"/>
              <w:bottom w:w="57" w:type="dxa"/>
            </w:tcMar>
            <w:vAlign w:val="center"/>
          </w:tcPr>
          <w:p w14:paraId="11DD12B8" w14:textId="4B11DBD4" w:rsidR="00E93440"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lastRenderedPageBreak/>
              <w:t>8</w:t>
            </w:r>
          </w:p>
        </w:tc>
        <w:tc>
          <w:tcPr>
            <w:tcW w:w="1455" w:type="dxa"/>
            <w:tcMar>
              <w:top w:w="57" w:type="dxa"/>
              <w:left w:w="113" w:type="dxa"/>
              <w:bottom w:w="57" w:type="dxa"/>
            </w:tcMar>
            <w:vAlign w:val="center"/>
          </w:tcPr>
          <w:p w14:paraId="6923CF7E" w14:textId="31A664D0" w:rsidR="00E93440"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(H-V) Expedir el acto administrativo</w:t>
            </w:r>
          </w:p>
        </w:tc>
        <w:tc>
          <w:tcPr>
            <w:tcW w:w="2014" w:type="dxa"/>
            <w:tcMar>
              <w:top w:w="57" w:type="dxa"/>
              <w:left w:w="113" w:type="dxa"/>
              <w:bottom w:w="57" w:type="dxa"/>
            </w:tcMar>
            <w:vAlign w:val="center"/>
          </w:tcPr>
          <w:p w14:paraId="1DDC0CE3" w14:textId="61A11B5D" w:rsidR="00E93440"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1DE71A76" w14:textId="756C4D36" w:rsidR="00E93440"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El Director de Productividad y Competitividad, procede a otorgar el programa y respectivos subprogramas para cada uno de los bienes finales que se fabricaran con los bienes cuya importación se autoriza, mediante acto administrativo debidamente motivado, acorde con el procedimiento Expedición, publicación y archivo de actos administrativos generales. CÓDIGO: GD-PR-013</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xml:space="preserve"> 1-40* </w:t>
            </w:r>
            <w:proofErr w:type="spellStart"/>
            <w:r w:rsidRPr="009F2603">
              <w:rPr>
                <w:rFonts w:ascii="Verdana" w:hAnsi="Verdana" w:cs="Arial"/>
                <w:color w:val="000000"/>
                <w:sz w:val="16"/>
                <w:szCs w:val="16"/>
              </w:rPr>
              <w:t>dias</w:t>
            </w:r>
            <w:proofErr w:type="spellEnd"/>
            <w:r w:rsidRPr="009F2603">
              <w:rPr>
                <w:rFonts w:ascii="Verdana" w:hAnsi="Verdana" w:cs="Arial"/>
                <w:color w:val="000000"/>
                <w:sz w:val="16"/>
                <w:szCs w:val="16"/>
              </w:rPr>
              <w:t>.</w:t>
            </w:r>
            <w:r w:rsidRPr="009F2603">
              <w:rPr>
                <w:rFonts w:ascii="Verdana" w:hAnsi="Verdana" w:cs="Arial"/>
                <w:color w:val="000000"/>
                <w:sz w:val="16"/>
                <w:szCs w:val="16"/>
              </w:rPr>
              <w:br/>
              <w:t>*Articulo 8. Resolución 3429 de 2015.</w:t>
            </w:r>
          </w:p>
        </w:tc>
        <w:tc>
          <w:tcPr>
            <w:tcW w:w="1388" w:type="dxa"/>
            <w:tcMar>
              <w:top w:w="57" w:type="dxa"/>
              <w:left w:w="113" w:type="dxa"/>
              <w:bottom w:w="57" w:type="dxa"/>
            </w:tcMar>
            <w:vAlign w:val="center"/>
          </w:tcPr>
          <w:p w14:paraId="45EEEAF9" w14:textId="5092B8DA" w:rsidR="00E93440"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Resolución</w:t>
            </w:r>
          </w:p>
        </w:tc>
      </w:tr>
      <w:tr w:rsidR="00E93440" w:rsidRPr="00666AB9" w14:paraId="2A74F4C3" w14:textId="77777777" w:rsidTr="00AA2234">
        <w:trPr>
          <w:trHeight w:val="17"/>
        </w:trPr>
        <w:tc>
          <w:tcPr>
            <w:tcW w:w="495" w:type="dxa"/>
            <w:tcMar>
              <w:top w:w="57" w:type="dxa"/>
              <w:left w:w="113" w:type="dxa"/>
              <w:bottom w:w="57" w:type="dxa"/>
            </w:tcMar>
            <w:vAlign w:val="center"/>
          </w:tcPr>
          <w:p w14:paraId="589A71A6" w14:textId="072B422A" w:rsidR="00E93440"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9</w:t>
            </w:r>
          </w:p>
        </w:tc>
        <w:tc>
          <w:tcPr>
            <w:tcW w:w="1455" w:type="dxa"/>
            <w:tcMar>
              <w:top w:w="57" w:type="dxa"/>
              <w:left w:w="113" w:type="dxa"/>
              <w:bottom w:w="57" w:type="dxa"/>
            </w:tcMar>
            <w:vAlign w:val="center"/>
          </w:tcPr>
          <w:p w14:paraId="3806DD40" w14:textId="68C2E825" w:rsidR="00E93440"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Remitir la Resolución al Jefe de la Oficina Asesora Jurídica para su notificación</w:t>
            </w:r>
          </w:p>
        </w:tc>
        <w:tc>
          <w:tcPr>
            <w:tcW w:w="2014" w:type="dxa"/>
            <w:tcMar>
              <w:top w:w="57" w:type="dxa"/>
              <w:left w:w="113" w:type="dxa"/>
              <w:bottom w:w="57" w:type="dxa"/>
            </w:tcMar>
            <w:vAlign w:val="center"/>
          </w:tcPr>
          <w:p w14:paraId="7A62A1F5" w14:textId="13EF4990" w:rsidR="00E93440"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34EC3FAC" w14:textId="4513F36D" w:rsidR="00E93440"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La Dirección de Productividad y Competitividad remite a la Oficina Asesora Jurídica del Ministerio el acto administrativo en dos (2) copias auténticas, para que adelante su notificación al representante legal de la peticionaria.</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xml:space="preserve"> 1 </w:t>
            </w:r>
            <w:proofErr w:type="spellStart"/>
            <w:r w:rsidRPr="009F2603">
              <w:rPr>
                <w:rFonts w:ascii="Verdana" w:hAnsi="Verdana" w:cs="Arial"/>
                <w:color w:val="000000"/>
                <w:sz w:val="16"/>
                <w:szCs w:val="16"/>
              </w:rPr>
              <w:t>dia</w:t>
            </w:r>
            <w:proofErr w:type="spellEnd"/>
            <w:r w:rsidRPr="009F2603">
              <w:rPr>
                <w:rFonts w:ascii="Verdana" w:hAnsi="Verdana" w:cs="Arial"/>
                <w:color w:val="000000"/>
                <w:sz w:val="16"/>
                <w:szCs w:val="16"/>
              </w:rPr>
              <w:t>.</w:t>
            </w:r>
            <w:r w:rsidRPr="009F2603">
              <w:rPr>
                <w:rFonts w:ascii="Verdana" w:hAnsi="Verdana" w:cs="Arial"/>
                <w:color w:val="000000"/>
                <w:sz w:val="16"/>
                <w:szCs w:val="16"/>
              </w:rPr>
              <w:br/>
              <w:t>La Oficina Asesora Jurídica notificará el acto administrativo de conformidad con lo establecido en el artículo 67 y siguientes del CPACA</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5 días siguientes a la expedición del acto administrativo.</w:t>
            </w:r>
          </w:p>
        </w:tc>
        <w:tc>
          <w:tcPr>
            <w:tcW w:w="1388" w:type="dxa"/>
            <w:tcMar>
              <w:top w:w="57" w:type="dxa"/>
              <w:left w:w="113" w:type="dxa"/>
              <w:bottom w:w="57" w:type="dxa"/>
            </w:tcMar>
            <w:vAlign w:val="center"/>
          </w:tcPr>
          <w:p w14:paraId="66537323" w14:textId="40FF3D54" w:rsidR="00E93440"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Memorando*, copia auténtica de la Resolución notificada y constancia de ejecutoria.</w:t>
            </w:r>
          </w:p>
        </w:tc>
      </w:tr>
      <w:tr w:rsidR="00E93440" w:rsidRPr="00666AB9" w14:paraId="438115B0" w14:textId="77777777" w:rsidTr="00AA2234">
        <w:trPr>
          <w:trHeight w:val="17"/>
        </w:trPr>
        <w:tc>
          <w:tcPr>
            <w:tcW w:w="495" w:type="dxa"/>
            <w:tcMar>
              <w:top w:w="57" w:type="dxa"/>
              <w:left w:w="113" w:type="dxa"/>
              <w:bottom w:w="57" w:type="dxa"/>
            </w:tcMar>
            <w:vAlign w:val="center"/>
          </w:tcPr>
          <w:p w14:paraId="1507C3F7" w14:textId="11855532" w:rsidR="00E93440" w:rsidRPr="009F2603" w:rsidRDefault="00970E8B"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10</w:t>
            </w:r>
          </w:p>
        </w:tc>
        <w:tc>
          <w:tcPr>
            <w:tcW w:w="1455" w:type="dxa"/>
            <w:tcMar>
              <w:top w:w="57" w:type="dxa"/>
              <w:left w:w="113" w:type="dxa"/>
              <w:bottom w:w="57" w:type="dxa"/>
            </w:tcMar>
            <w:vAlign w:val="center"/>
          </w:tcPr>
          <w:p w14:paraId="65F5A788" w14:textId="6B7D4E65" w:rsidR="00E93440" w:rsidRPr="009F2603" w:rsidRDefault="009F2603" w:rsidP="00C33928">
            <w:pPr>
              <w:jc w:val="center"/>
              <w:rPr>
                <w:rFonts w:ascii="Verdana" w:hAnsi="Verdana" w:cs="Arial"/>
                <w:color w:val="000000"/>
                <w:sz w:val="16"/>
                <w:szCs w:val="16"/>
              </w:rPr>
            </w:pPr>
            <w:r w:rsidRPr="009F2603">
              <w:rPr>
                <w:rFonts w:ascii="Verdana" w:hAnsi="Verdana" w:cs="Arial"/>
                <w:color w:val="000000"/>
                <w:sz w:val="16"/>
                <w:szCs w:val="16"/>
              </w:rPr>
              <w:t>(H) Decidir el recurso de reposición y/o apelación interpuesto</w:t>
            </w:r>
          </w:p>
        </w:tc>
        <w:tc>
          <w:tcPr>
            <w:tcW w:w="2014" w:type="dxa"/>
            <w:tcMar>
              <w:top w:w="57" w:type="dxa"/>
              <w:left w:w="113" w:type="dxa"/>
              <w:bottom w:w="57" w:type="dxa"/>
            </w:tcMar>
            <w:vAlign w:val="center"/>
          </w:tcPr>
          <w:p w14:paraId="1C28ED37" w14:textId="6CD5FEF0" w:rsidR="00E93440"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 Viceministro (a) de Desarrollo Empresarial</w:t>
            </w:r>
          </w:p>
        </w:tc>
        <w:tc>
          <w:tcPr>
            <w:tcW w:w="5438" w:type="dxa"/>
            <w:tcMar>
              <w:top w:w="57" w:type="dxa"/>
              <w:left w:w="113" w:type="dxa"/>
              <w:bottom w:w="57" w:type="dxa"/>
            </w:tcMar>
          </w:tcPr>
          <w:p w14:paraId="69212487" w14:textId="6D3DE642" w:rsidR="00E93440"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El Director de Productividad y Competitividad decide el recurso de reposición interpuesto, bien sea confirmando o modificando o revocando la Resolución inicial.</w:t>
            </w:r>
            <w:r w:rsidRPr="009F2603">
              <w:rPr>
                <w:rFonts w:ascii="Verdana" w:hAnsi="Verdana" w:cs="Arial"/>
                <w:color w:val="000000"/>
                <w:sz w:val="16"/>
                <w:szCs w:val="16"/>
              </w:rPr>
              <w:br/>
            </w:r>
            <w:r w:rsidRPr="009F2603">
              <w:rPr>
                <w:rFonts w:ascii="Verdana" w:hAnsi="Verdana" w:cs="Arial"/>
                <w:color w:val="000000"/>
                <w:sz w:val="16"/>
                <w:szCs w:val="16"/>
              </w:rPr>
              <w:br/>
              <w:t>Si la confirma y hubo apelación esta se concede ante el Viceministro que resuelva el recurso.</w:t>
            </w:r>
            <w:r w:rsidRPr="009F2603">
              <w:rPr>
                <w:rFonts w:ascii="Verdana" w:hAnsi="Verdana" w:cs="Arial"/>
                <w:color w:val="000000"/>
                <w:sz w:val="16"/>
                <w:szCs w:val="16"/>
              </w:rPr>
              <w:br/>
            </w:r>
            <w:r w:rsidRPr="009F2603">
              <w:rPr>
                <w:rFonts w:ascii="Verdana" w:hAnsi="Verdana" w:cs="Arial"/>
                <w:color w:val="000000"/>
                <w:sz w:val="16"/>
                <w:szCs w:val="16"/>
              </w:rPr>
              <w:br/>
              <w:t>Para la expedición del acto administrativo se debe contar con el visto bueno de la Subdirectora de Diseño y Administración de Operaciones, la Dirección de Comercio Exterior y del Coordinador del Grupo de Registro de Productores de Bienes Nacionales y del Jefe de la Oficina Asesora Jurídica del MinCIT</w:t>
            </w:r>
            <w:r w:rsidRPr="009F2603">
              <w:rPr>
                <w:rFonts w:ascii="Verdana" w:hAnsi="Verdana" w:cs="Arial"/>
                <w:color w:val="000000"/>
                <w:sz w:val="16"/>
                <w:szCs w:val="16"/>
              </w:rPr>
              <w:br/>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2 meses.</w:t>
            </w:r>
          </w:p>
        </w:tc>
        <w:tc>
          <w:tcPr>
            <w:tcW w:w="1388" w:type="dxa"/>
            <w:tcMar>
              <w:top w:w="57" w:type="dxa"/>
              <w:left w:w="113" w:type="dxa"/>
              <w:bottom w:w="57" w:type="dxa"/>
            </w:tcMar>
            <w:vAlign w:val="center"/>
          </w:tcPr>
          <w:p w14:paraId="37834F2C" w14:textId="47FE977D" w:rsidR="00E93440"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Resolución</w:t>
            </w:r>
          </w:p>
        </w:tc>
      </w:tr>
      <w:tr w:rsidR="00C77DA4" w:rsidRPr="00666AB9" w14:paraId="59279DBD" w14:textId="77777777" w:rsidTr="00AA2234">
        <w:trPr>
          <w:trHeight w:val="17"/>
        </w:trPr>
        <w:tc>
          <w:tcPr>
            <w:tcW w:w="495" w:type="dxa"/>
            <w:tcMar>
              <w:top w:w="57" w:type="dxa"/>
              <w:left w:w="113" w:type="dxa"/>
              <w:bottom w:w="57" w:type="dxa"/>
            </w:tcMar>
            <w:vAlign w:val="center"/>
          </w:tcPr>
          <w:p w14:paraId="17AC68B4" w14:textId="7C1E0D70" w:rsidR="00C77DA4" w:rsidRPr="009F2603" w:rsidRDefault="00C77DA4"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11</w:t>
            </w:r>
          </w:p>
        </w:tc>
        <w:tc>
          <w:tcPr>
            <w:tcW w:w="1455" w:type="dxa"/>
            <w:tcMar>
              <w:top w:w="57" w:type="dxa"/>
              <w:left w:w="113" w:type="dxa"/>
              <w:bottom w:w="57" w:type="dxa"/>
            </w:tcMar>
            <w:vAlign w:val="center"/>
          </w:tcPr>
          <w:p w14:paraId="4C3991DD" w14:textId="16F76AEE" w:rsidR="00C77DA4"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Remitir la Resolución al Jefe de la Oficina Asesora Jurídica para su notificación</w:t>
            </w:r>
          </w:p>
        </w:tc>
        <w:tc>
          <w:tcPr>
            <w:tcW w:w="2014" w:type="dxa"/>
            <w:tcMar>
              <w:top w:w="57" w:type="dxa"/>
              <w:left w:w="113" w:type="dxa"/>
              <w:bottom w:w="57" w:type="dxa"/>
            </w:tcMar>
            <w:vAlign w:val="center"/>
          </w:tcPr>
          <w:p w14:paraId="579DA845" w14:textId="7F920CEC" w:rsidR="00C77DA4"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564D48DD" w14:textId="27EE0FC0" w:rsidR="00C77DA4"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La Dirección de Productividad y Competitividad remite a la Oficina Asesora Jurídica del Ministerio la Resolución en dos (2) copias auténticas, para que adelante su notificación al representante legal de la peticionaria.</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1 día.</w:t>
            </w:r>
            <w:r w:rsidRPr="009F2603">
              <w:rPr>
                <w:rFonts w:ascii="Verdana" w:hAnsi="Verdana" w:cs="Arial"/>
                <w:color w:val="000000"/>
                <w:sz w:val="16"/>
                <w:szCs w:val="16"/>
              </w:rPr>
              <w:br/>
              <w:t>La Oficina Asesora Jurídica notificará el acto administrativo de conformidad con lo establecido en el artículo 67 y siguientes del CPACA</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5 días siguientes a la expedición del acto administrativo.</w:t>
            </w:r>
          </w:p>
        </w:tc>
        <w:tc>
          <w:tcPr>
            <w:tcW w:w="1388" w:type="dxa"/>
            <w:tcMar>
              <w:top w:w="57" w:type="dxa"/>
              <w:left w:w="113" w:type="dxa"/>
              <w:bottom w:w="57" w:type="dxa"/>
            </w:tcMar>
            <w:vAlign w:val="center"/>
          </w:tcPr>
          <w:p w14:paraId="6DF13267" w14:textId="721ED222" w:rsidR="00C77DA4"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Memorando*, copia auténtica resolución notificada y constancia de ejecutoria.</w:t>
            </w:r>
          </w:p>
        </w:tc>
      </w:tr>
      <w:tr w:rsidR="00C77DA4" w:rsidRPr="00666AB9" w14:paraId="5E8EAD9C" w14:textId="77777777" w:rsidTr="00AA2234">
        <w:trPr>
          <w:trHeight w:val="17"/>
        </w:trPr>
        <w:tc>
          <w:tcPr>
            <w:tcW w:w="495" w:type="dxa"/>
            <w:tcMar>
              <w:top w:w="57" w:type="dxa"/>
              <w:left w:w="113" w:type="dxa"/>
              <w:bottom w:w="57" w:type="dxa"/>
            </w:tcMar>
            <w:vAlign w:val="center"/>
          </w:tcPr>
          <w:p w14:paraId="1E827C8F" w14:textId="36FE9848" w:rsidR="00C77DA4" w:rsidRPr="009F2603" w:rsidRDefault="00C77DA4"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12</w:t>
            </w:r>
          </w:p>
        </w:tc>
        <w:tc>
          <w:tcPr>
            <w:tcW w:w="1455" w:type="dxa"/>
            <w:tcMar>
              <w:top w:w="57" w:type="dxa"/>
              <w:left w:w="113" w:type="dxa"/>
              <w:bottom w:w="57" w:type="dxa"/>
            </w:tcMar>
            <w:vAlign w:val="center"/>
          </w:tcPr>
          <w:p w14:paraId="0EF13179" w14:textId="5AB674A3" w:rsidR="00C77DA4"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Informar y solicitar la comunicación, -publicación de la resolución que otorga el Programa de importación de bienes</w:t>
            </w:r>
          </w:p>
        </w:tc>
        <w:tc>
          <w:tcPr>
            <w:tcW w:w="2014" w:type="dxa"/>
            <w:tcMar>
              <w:top w:w="57" w:type="dxa"/>
              <w:left w:w="113" w:type="dxa"/>
              <w:bottom w:w="57" w:type="dxa"/>
            </w:tcMar>
            <w:vAlign w:val="center"/>
          </w:tcPr>
          <w:p w14:paraId="5603B949" w14:textId="0D9B7A60" w:rsidR="00C77DA4"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Asesor o profesional especializado encargado</w:t>
            </w:r>
          </w:p>
        </w:tc>
        <w:tc>
          <w:tcPr>
            <w:tcW w:w="5438" w:type="dxa"/>
            <w:tcMar>
              <w:top w:w="57" w:type="dxa"/>
              <w:left w:w="113" w:type="dxa"/>
              <w:bottom w:w="57" w:type="dxa"/>
            </w:tcMar>
          </w:tcPr>
          <w:p w14:paraId="67E8068D" w14:textId="514B84EB" w:rsidR="00C77DA4"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Dentro de los cinco (5) días siguientes a la ejecutoría del acto administrativo, la Dirección de Productividad y Competitividad:</w:t>
            </w:r>
            <w:r w:rsidRPr="009F2603">
              <w:rPr>
                <w:rFonts w:ascii="Verdana" w:hAnsi="Verdana" w:cs="Arial"/>
                <w:color w:val="000000"/>
                <w:sz w:val="16"/>
                <w:szCs w:val="16"/>
              </w:rPr>
              <w:br/>
              <w:t>1. Remitirá copia la resolución a la DIAN.</w:t>
            </w:r>
            <w:r w:rsidRPr="009F2603">
              <w:rPr>
                <w:rFonts w:ascii="Verdana" w:hAnsi="Verdana" w:cs="Arial"/>
                <w:color w:val="000000"/>
                <w:sz w:val="16"/>
                <w:szCs w:val="16"/>
              </w:rPr>
              <w:br/>
              <w:t>2. Solicitará al Web master del Ministerio la publicación del acto administrativo en la página web http://www.mincit.gov.co/minindustria/publicaciones.php?id=36789</w:t>
            </w:r>
            <w:r w:rsidRPr="009F2603">
              <w:rPr>
                <w:rFonts w:ascii="Verdana" w:hAnsi="Verdana" w:cs="Arial"/>
                <w:color w:val="000000"/>
                <w:sz w:val="16"/>
                <w:szCs w:val="16"/>
              </w:rPr>
              <w:br/>
              <w:t>3. Remitirá a la Subdirección de Diseño y Administración de Operaciones de la Dirección de Comercio Exterior el acto administrativo de autorización para que comuniquen a los Productores Nacionales de los Bienes Codificados dentro de la respectiva subpartida arancelaria y su actualización en la base de datos del registro de productores de bienes nacionales.</w:t>
            </w:r>
            <w:r w:rsidRPr="009F2603">
              <w:rPr>
                <w:rFonts w:ascii="Verdana" w:hAnsi="Verdana" w:cs="Arial"/>
                <w:color w:val="000000"/>
                <w:sz w:val="16"/>
                <w:szCs w:val="16"/>
              </w:rPr>
              <w:br/>
              <w:t xml:space="preserve">4. Remitirá a la Oficina de Sistemas de Información del Ministerio, copia del acto administrativo de autorización a fin de que se incluya en la base de datos de registro de productores de bienes nacionales </w:t>
            </w:r>
            <w:r w:rsidRPr="009F2603">
              <w:rPr>
                <w:rFonts w:ascii="Verdana" w:hAnsi="Verdana" w:cs="Arial"/>
                <w:color w:val="000000"/>
                <w:sz w:val="16"/>
                <w:szCs w:val="16"/>
              </w:rPr>
              <w:lastRenderedPageBreak/>
              <w:t>los códigos numéricos únicos contenidos en el acto.</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5 días.</w:t>
            </w:r>
          </w:p>
        </w:tc>
        <w:tc>
          <w:tcPr>
            <w:tcW w:w="1388" w:type="dxa"/>
            <w:tcMar>
              <w:top w:w="57" w:type="dxa"/>
              <w:left w:w="113" w:type="dxa"/>
              <w:bottom w:w="57" w:type="dxa"/>
            </w:tcMar>
            <w:vAlign w:val="center"/>
          </w:tcPr>
          <w:p w14:paraId="4B5031AE" w14:textId="6087971A" w:rsidR="00C77DA4" w:rsidRPr="009F2603" w:rsidRDefault="0067390C" w:rsidP="003033FD">
            <w:pPr>
              <w:spacing w:after="0" w:line="240" w:lineRule="auto"/>
              <w:jc w:val="center"/>
              <w:rPr>
                <w:rFonts w:ascii="Verdana" w:hAnsi="Verdana" w:cs="Arial"/>
                <w:sz w:val="16"/>
                <w:szCs w:val="16"/>
              </w:rPr>
            </w:pPr>
            <w:r w:rsidRPr="009F2603">
              <w:rPr>
                <w:rFonts w:ascii="Verdana" w:hAnsi="Verdana" w:cs="Arial"/>
                <w:color w:val="000000"/>
                <w:sz w:val="16"/>
                <w:szCs w:val="16"/>
              </w:rPr>
              <w:lastRenderedPageBreak/>
              <w:t>Oficio,</w:t>
            </w:r>
            <w:r w:rsidR="009F2603" w:rsidRPr="009F2603">
              <w:rPr>
                <w:rFonts w:ascii="Verdana" w:hAnsi="Verdana" w:cs="Arial"/>
                <w:color w:val="000000"/>
                <w:sz w:val="16"/>
                <w:szCs w:val="16"/>
              </w:rPr>
              <w:t xml:space="preserve"> Memorando*</w:t>
            </w:r>
          </w:p>
        </w:tc>
      </w:tr>
      <w:tr w:rsidR="009F2603" w:rsidRPr="00666AB9" w14:paraId="12F4EB21" w14:textId="77777777" w:rsidTr="009F2603">
        <w:trPr>
          <w:trHeight w:val="17"/>
        </w:trPr>
        <w:tc>
          <w:tcPr>
            <w:tcW w:w="10790" w:type="dxa"/>
            <w:gridSpan w:val="5"/>
            <w:tcMar>
              <w:top w:w="57" w:type="dxa"/>
              <w:left w:w="113" w:type="dxa"/>
              <w:bottom w:w="57" w:type="dxa"/>
            </w:tcMar>
            <w:vAlign w:val="center"/>
          </w:tcPr>
          <w:p w14:paraId="4119B9AD" w14:textId="071950FC" w:rsidR="009F2603" w:rsidRPr="009F2603" w:rsidRDefault="009F2603" w:rsidP="003033FD">
            <w:pPr>
              <w:spacing w:after="0" w:line="240" w:lineRule="auto"/>
              <w:jc w:val="center"/>
              <w:rPr>
                <w:rFonts w:ascii="Verdana" w:hAnsi="Verdana" w:cs="Arial"/>
                <w:color w:val="000000"/>
                <w:sz w:val="16"/>
                <w:szCs w:val="16"/>
              </w:rPr>
            </w:pPr>
            <w:r w:rsidRPr="009F2603">
              <w:rPr>
                <w:rFonts w:ascii="Verdana" w:hAnsi="Verdana" w:cs="Arial"/>
                <w:b/>
                <w:bCs/>
                <w:color w:val="000000"/>
                <w:sz w:val="16"/>
                <w:szCs w:val="16"/>
              </w:rPr>
              <w:t>II. TERMINACION AUTORIZACION PROGRAMA FOMENTO INDUSTRIA AUTOMOTRIZ</w:t>
            </w:r>
          </w:p>
        </w:tc>
      </w:tr>
      <w:tr w:rsidR="00C77DA4" w:rsidRPr="00666AB9" w14:paraId="29210419" w14:textId="77777777" w:rsidTr="00AA2234">
        <w:trPr>
          <w:trHeight w:val="17"/>
        </w:trPr>
        <w:tc>
          <w:tcPr>
            <w:tcW w:w="495" w:type="dxa"/>
            <w:tcMar>
              <w:top w:w="57" w:type="dxa"/>
              <w:left w:w="113" w:type="dxa"/>
              <w:bottom w:w="57" w:type="dxa"/>
            </w:tcMar>
            <w:vAlign w:val="center"/>
          </w:tcPr>
          <w:p w14:paraId="4DA8CDA6" w14:textId="01A570FA" w:rsidR="00C77DA4" w:rsidRPr="009F2603" w:rsidRDefault="00C77DA4"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13</w:t>
            </w:r>
          </w:p>
        </w:tc>
        <w:tc>
          <w:tcPr>
            <w:tcW w:w="1455" w:type="dxa"/>
            <w:tcMar>
              <w:top w:w="57" w:type="dxa"/>
              <w:left w:w="113" w:type="dxa"/>
              <w:bottom w:w="57" w:type="dxa"/>
            </w:tcMar>
            <w:vAlign w:val="center"/>
          </w:tcPr>
          <w:p w14:paraId="5FE6450D" w14:textId="51828FF8" w:rsidR="00C77DA4"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(H) Declarar terminación del Programa de Fomento para la Industria Automotriz</w:t>
            </w:r>
          </w:p>
        </w:tc>
        <w:tc>
          <w:tcPr>
            <w:tcW w:w="2014" w:type="dxa"/>
            <w:tcMar>
              <w:top w:w="57" w:type="dxa"/>
              <w:left w:w="113" w:type="dxa"/>
              <w:bottom w:w="57" w:type="dxa"/>
            </w:tcMar>
            <w:vAlign w:val="center"/>
          </w:tcPr>
          <w:p w14:paraId="1FF3E535" w14:textId="01E0C7CA" w:rsidR="00C77DA4"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Director(a) de Productividad y Competitividad</w:t>
            </w:r>
          </w:p>
        </w:tc>
        <w:tc>
          <w:tcPr>
            <w:tcW w:w="5438" w:type="dxa"/>
            <w:tcMar>
              <w:top w:w="57" w:type="dxa"/>
              <w:left w:w="113" w:type="dxa"/>
              <w:bottom w:w="57" w:type="dxa"/>
            </w:tcMar>
          </w:tcPr>
          <w:p w14:paraId="6AACE1CA" w14:textId="69706663" w:rsidR="00C77DA4"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La Dirección de Productividad y Competitividad, previo agotamiento del procedimiento administrativo señalado en las Leyes 1437 de 2011 y 1755 de 2015, por solicitud de la parte interesada o de oficio, declarará la terminación del Programa de Fomento para la Industria cuando quiera que se compruebe la configuración de alguno de los hechos que dan lugar a hacerlo, de acuerdo con el artículo 19 del Decreto 1567 de 2015. Contra el acto administrativo proceden los recursos de reposición y/o apelación, por lo que se observará el procedimiento previsto en las leyes mencionadas tanto en el trámite como en su notificación.</w:t>
            </w:r>
            <w:r w:rsidRPr="009F2603">
              <w:rPr>
                <w:rFonts w:ascii="Verdana" w:hAnsi="Verdana" w:cs="Arial"/>
                <w:color w:val="000000"/>
                <w:sz w:val="16"/>
                <w:szCs w:val="16"/>
              </w:rPr>
              <w:br/>
              <w:t>Tiempo:</w:t>
            </w:r>
            <w:r w:rsidRPr="009F2603">
              <w:rPr>
                <w:rFonts w:ascii="Verdana" w:hAnsi="Verdana" w:cs="Arial"/>
                <w:color w:val="000000"/>
                <w:sz w:val="16"/>
                <w:szCs w:val="16"/>
              </w:rPr>
              <w:br/>
              <w:t>Ejecutoriada y en firme la resolución que termina el programa de fomento para la industria automotriz la Directora de Productividad y Competitividad la comunicará a la DIAN.</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color w:val="000000"/>
                <w:sz w:val="16"/>
                <w:szCs w:val="16"/>
              </w:rPr>
              <w:t> 5 días</w:t>
            </w:r>
          </w:p>
        </w:tc>
        <w:tc>
          <w:tcPr>
            <w:tcW w:w="1388" w:type="dxa"/>
            <w:tcMar>
              <w:top w:w="57" w:type="dxa"/>
              <w:left w:w="113" w:type="dxa"/>
              <w:bottom w:w="57" w:type="dxa"/>
            </w:tcMar>
            <w:vAlign w:val="center"/>
          </w:tcPr>
          <w:p w14:paraId="055F03CA" w14:textId="0B60FAB8" w:rsidR="00C77DA4"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Expediente</w:t>
            </w:r>
          </w:p>
        </w:tc>
      </w:tr>
      <w:tr w:rsidR="00C77DA4" w:rsidRPr="00666AB9" w14:paraId="60AED25B" w14:textId="77777777" w:rsidTr="00AA2234">
        <w:trPr>
          <w:trHeight w:val="17"/>
        </w:trPr>
        <w:tc>
          <w:tcPr>
            <w:tcW w:w="495" w:type="dxa"/>
            <w:tcMar>
              <w:top w:w="57" w:type="dxa"/>
              <w:left w:w="113" w:type="dxa"/>
              <w:bottom w:w="57" w:type="dxa"/>
            </w:tcMar>
            <w:vAlign w:val="center"/>
          </w:tcPr>
          <w:p w14:paraId="4D6D4277" w14:textId="6B8D1984" w:rsidR="00C77DA4" w:rsidRPr="009F2603" w:rsidRDefault="00C77DA4" w:rsidP="003033FD">
            <w:pPr>
              <w:spacing w:after="0" w:line="240" w:lineRule="auto"/>
              <w:ind w:left="-142"/>
              <w:jc w:val="center"/>
              <w:rPr>
                <w:rFonts w:ascii="Verdana" w:hAnsi="Verdana" w:cs="Arial"/>
                <w:b/>
                <w:sz w:val="16"/>
                <w:szCs w:val="16"/>
              </w:rPr>
            </w:pPr>
            <w:r w:rsidRPr="009F2603">
              <w:rPr>
                <w:rFonts w:ascii="Verdana" w:hAnsi="Verdana" w:cs="Arial"/>
                <w:b/>
                <w:sz w:val="16"/>
                <w:szCs w:val="16"/>
              </w:rPr>
              <w:t>14</w:t>
            </w:r>
          </w:p>
        </w:tc>
        <w:tc>
          <w:tcPr>
            <w:tcW w:w="1455" w:type="dxa"/>
            <w:tcMar>
              <w:top w:w="57" w:type="dxa"/>
              <w:left w:w="113" w:type="dxa"/>
              <w:bottom w:w="57" w:type="dxa"/>
            </w:tcMar>
            <w:vAlign w:val="center"/>
          </w:tcPr>
          <w:p w14:paraId="739BB342" w14:textId="1198AC7C" w:rsidR="00C77DA4" w:rsidRPr="009F2603" w:rsidRDefault="009F2603" w:rsidP="007341F5">
            <w:pPr>
              <w:spacing w:after="0" w:line="240" w:lineRule="auto"/>
              <w:jc w:val="center"/>
              <w:rPr>
                <w:rFonts w:ascii="Verdana" w:hAnsi="Verdana" w:cs="Arial"/>
                <w:sz w:val="16"/>
                <w:szCs w:val="16"/>
              </w:rPr>
            </w:pPr>
            <w:r w:rsidRPr="009F2603">
              <w:rPr>
                <w:rFonts w:ascii="Verdana" w:hAnsi="Verdana" w:cs="Arial"/>
                <w:color w:val="000000"/>
                <w:sz w:val="16"/>
                <w:szCs w:val="16"/>
              </w:rPr>
              <w:t>(A) Establecer las acciones necesarias para el mejoramiento continuo del proceso.</w:t>
            </w:r>
          </w:p>
        </w:tc>
        <w:tc>
          <w:tcPr>
            <w:tcW w:w="2014" w:type="dxa"/>
            <w:tcMar>
              <w:top w:w="57" w:type="dxa"/>
              <w:left w:w="113" w:type="dxa"/>
              <w:bottom w:w="57" w:type="dxa"/>
            </w:tcMar>
            <w:vAlign w:val="center"/>
          </w:tcPr>
          <w:p w14:paraId="3738D7A0" w14:textId="5C17BFC0" w:rsidR="00C77DA4" w:rsidRPr="009F2603" w:rsidRDefault="009F2603" w:rsidP="003033FD">
            <w:pPr>
              <w:spacing w:after="0" w:line="240" w:lineRule="auto"/>
              <w:rPr>
                <w:rFonts w:ascii="Verdana" w:hAnsi="Verdana" w:cs="Arial"/>
                <w:sz w:val="16"/>
                <w:szCs w:val="16"/>
              </w:rPr>
            </w:pPr>
            <w:r w:rsidRPr="009F2603">
              <w:rPr>
                <w:rFonts w:ascii="Verdana" w:hAnsi="Verdana" w:cs="Arial"/>
                <w:color w:val="000000"/>
                <w:sz w:val="16"/>
                <w:szCs w:val="16"/>
              </w:rPr>
              <w:t>Asesor o profesional especializado encargado, Director(a) de Productividad y Competitividad</w:t>
            </w:r>
          </w:p>
        </w:tc>
        <w:tc>
          <w:tcPr>
            <w:tcW w:w="5438" w:type="dxa"/>
            <w:tcMar>
              <w:top w:w="57" w:type="dxa"/>
              <w:left w:w="113" w:type="dxa"/>
              <w:bottom w:w="57" w:type="dxa"/>
            </w:tcMar>
          </w:tcPr>
          <w:p w14:paraId="1AB4D74A" w14:textId="33BE4D27" w:rsidR="00C77DA4" w:rsidRPr="009F2603" w:rsidRDefault="009F2603" w:rsidP="009F2603">
            <w:pPr>
              <w:spacing w:after="0" w:line="240" w:lineRule="auto"/>
              <w:rPr>
                <w:rFonts w:ascii="Verdana" w:hAnsi="Verdana" w:cs="Arial"/>
                <w:sz w:val="16"/>
                <w:szCs w:val="16"/>
              </w:rPr>
            </w:pPr>
            <w:r w:rsidRPr="009F2603">
              <w:rPr>
                <w:rFonts w:ascii="Verdana" w:hAnsi="Verdana" w:cs="Arial"/>
                <w:color w:val="000000"/>
                <w:sz w:val="16"/>
                <w:szCs w:val="16"/>
              </w:rPr>
              <w:t>Las acciones de mejora se realizan de acuerdo con los lineamientos establecidos en el procedimiento "Gestión de no conformidades, observaciones y notas de mejora."</w:t>
            </w:r>
            <w:r w:rsidRPr="009F2603">
              <w:rPr>
                <w:rFonts w:ascii="Verdana" w:hAnsi="Verdana" w:cs="Arial"/>
                <w:color w:val="000000"/>
                <w:sz w:val="16"/>
                <w:szCs w:val="16"/>
              </w:rPr>
              <w:br/>
            </w:r>
            <w:r w:rsidRPr="009F2603">
              <w:rPr>
                <w:rFonts w:ascii="Verdana" w:hAnsi="Verdana" w:cs="Arial"/>
                <w:bCs/>
                <w:color w:val="000000"/>
                <w:sz w:val="16"/>
                <w:szCs w:val="16"/>
              </w:rPr>
              <w:t>Tiempo</w:t>
            </w:r>
            <w:r w:rsidRPr="009F2603">
              <w:rPr>
                <w:rFonts w:ascii="Verdana" w:hAnsi="Verdana" w:cs="Arial"/>
                <w:b/>
                <w:bCs/>
                <w:color w:val="000000"/>
                <w:sz w:val="16"/>
                <w:szCs w:val="16"/>
              </w:rPr>
              <w:t>:</w:t>
            </w:r>
            <w:r w:rsidRPr="009F2603">
              <w:rPr>
                <w:rFonts w:ascii="Verdana" w:hAnsi="Verdana" w:cs="Arial"/>
                <w:color w:val="000000"/>
                <w:sz w:val="16"/>
                <w:szCs w:val="16"/>
              </w:rPr>
              <w:t> Permanente</w:t>
            </w:r>
          </w:p>
        </w:tc>
        <w:tc>
          <w:tcPr>
            <w:tcW w:w="1388" w:type="dxa"/>
            <w:tcMar>
              <w:top w:w="57" w:type="dxa"/>
              <w:left w:w="113" w:type="dxa"/>
              <w:bottom w:w="57" w:type="dxa"/>
            </w:tcMar>
            <w:vAlign w:val="center"/>
          </w:tcPr>
          <w:p w14:paraId="26B3F445" w14:textId="6F9BEC6E" w:rsidR="00C77DA4" w:rsidRPr="009F2603" w:rsidRDefault="009F2603" w:rsidP="003033FD">
            <w:pPr>
              <w:spacing w:after="0" w:line="240" w:lineRule="auto"/>
              <w:jc w:val="center"/>
              <w:rPr>
                <w:rFonts w:ascii="Verdana" w:hAnsi="Verdana" w:cs="Arial"/>
                <w:sz w:val="16"/>
                <w:szCs w:val="16"/>
              </w:rPr>
            </w:pPr>
            <w:r w:rsidRPr="009F2603">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73959754" w:rsidR="001D0B5F" w:rsidRPr="0067390C" w:rsidRDefault="0067390C" w:rsidP="00666AB9">
            <w:pPr>
              <w:spacing w:after="0" w:line="240" w:lineRule="auto"/>
              <w:jc w:val="center"/>
              <w:rPr>
                <w:rFonts w:ascii="Verdana" w:eastAsia="Arial" w:hAnsi="Verdana" w:cs="Arial"/>
                <w:color w:val="000000" w:themeColor="text1"/>
                <w:sz w:val="16"/>
                <w:szCs w:val="16"/>
              </w:rPr>
            </w:pPr>
            <w:r w:rsidRPr="0067390C">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2EE6F3C" w:rsidR="001D0B5F" w:rsidRPr="00E031E5" w:rsidRDefault="009F2603" w:rsidP="00E031E5">
            <w:pPr>
              <w:spacing w:after="0" w:line="240" w:lineRule="auto"/>
              <w:rPr>
                <w:rFonts w:ascii="Verdana" w:eastAsia="Arial" w:hAnsi="Verdana" w:cs="Arial"/>
                <w:color w:val="000000" w:themeColor="text1"/>
                <w:sz w:val="16"/>
                <w:szCs w:val="16"/>
              </w:rPr>
            </w:pPr>
            <w:r w:rsidRPr="009F2603">
              <w:rPr>
                <w:rFonts w:ascii="Verdana" w:eastAsia="Arial" w:hAnsi="Verdana" w:cs="Arial"/>
                <w:color w:val="000000" w:themeColor="text1"/>
                <w:sz w:val="16"/>
                <w:szCs w:val="16"/>
              </w:rPr>
              <w:t>Oficio</w:t>
            </w:r>
          </w:p>
        </w:tc>
      </w:tr>
      <w:tr w:rsidR="0067390C" w:rsidRPr="00666AB9" w14:paraId="4E7D6172" w14:textId="77777777" w:rsidTr="00590995">
        <w:trPr>
          <w:trHeight w:val="117"/>
        </w:trPr>
        <w:tc>
          <w:tcPr>
            <w:tcW w:w="960" w:type="dxa"/>
            <w:tcMar>
              <w:top w:w="30" w:type="dxa"/>
              <w:left w:w="30" w:type="dxa"/>
              <w:bottom w:w="30" w:type="dxa"/>
              <w:right w:w="30" w:type="dxa"/>
            </w:tcMar>
            <w:vAlign w:val="center"/>
          </w:tcPr>
          <w:p w14:paraId="231A4A04" w14:textId="77955EBD" w:rsidR="0067390C" w:rsidRPr="00666AB9" w:rsidRDefault="0067390C" w:rsidP="0067390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58519B05" w:rsidR="0067390C" w:rsidRPr="00666AB9" w:rsidRDefault="0067390C" w:rsidP="0067390C">
            <w:pPr>
              <w:spacing w:after="0" w:line="240" w:lineRule="auto"/>
              <w:jc w:val="center"/>
              <w:rPr>
                <w:rFonts w:ascii="Verdana" w:eastAsia="Arial" w:hAnsi="Verdana" w:cs="Arial"/>
                <w:b/>
                <w:bCs/>
                <w:color w:val="000000" w:themeColor="text1"/>
                <w:sz w:val="16"/>
                <w:szCs w:val="16"/>
              </w:rPr>
            </w:pPr>
            <w:r w:rsidRPr="00CD224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3E93337A" w:rsidR="0067390C" w:rsidRPr="0067390C" w:rsidRDefault="0067390C" w:rsidP="0067390C">
            <w:pPr>
              <w:spacing w:after="0" w:line="240" w:lineRule="auto"/>
              <w:rPr>
                <w:rFonts w:ascii="Verdana" w:eastAsia="Arial" w:hAnsi="Verdana" w:cs="Arial"/>
                <w:color w:val="000000" w:themeColor="text1"/>
                <w:sz w:val="16"/>
                <w:szCs w:val="16"/>
              </w:rPr>
            </w:pPr>
            <w:r w:rsidRPr="0067390C">
              <w:rPr>
                <w:rFonts w:ascii="Verdana" w:eastAsia="Arial" w:hAnsi="Verdana" w:cs="Arial"/>
                <w:color w:val="000000" w:themeColor="text1"/>
                <w:sz w:val="16"/>
                <w:szCs w:val="16"/>
              </w:rPr>
              <w:t>Memorando *</w:t>
            </w:r>
          </w:p>
        </w:tc>
      </w:tr>
      <w:tr w:rsidR="0067390C" w:rsidRPr="00666AB9" w14:paraId="4E201818" w14:textId="77777777" w:rsidTr="00590995">
        <w:trPr>
          <w:trHeight w:val="117"/>
        </w:trPr>
        <w:tc>
          <w:tcPr>
            <w:tcW w:w="960" w:type="dxa"/>
            <w:tcMar>
              <w:top w:w="30" w:type="dxa"/>
              <w:left w:w="30" w:type="dxa"/>
              <w:bottom w:w="30" w:type="dxa"/>
              <w:right w:w="30" w:type="dxa"/>
            </w:tcMar>
            <w:vAlign w:val="center"/>
          </w:tcPr>
          <w:p w14:paraId="2C9A363D" w14:textId="3860684E" w:rsidR="0067390C" w:rsidRPr="00666AB9" w:rsidRDefault="0067390C" w:rsidP="0067390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4DB4E296" w:rsidR="0067390C" w:rsidRPr="00666AB9" w:rsidRDefault="0067390C" w:rsidP="0067390C">
            <w:pPr>
              <w:spacing w:after="0" w:line="240" w:lineRule="auto"/>
              <w:jc w:val="center"/>
              <w:rPr>
                <w:rFonts w:ascii="Verdana" w:eastAsia="Arial" w:hAnsi="Verdana" w:cs="Arial"/>
                <w:b/>
                <w:bCs/>
                <w:color w:val="000000" w:themeColor="text1"/>
                <w:sz w:val="16"/>
                <w:szCs w:val="16"/>
              </w:rPr>
            </w:pPr>
            <w:r w:rsidRPr="00CD224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51FE8F1" w:rsidR="0067390C" w:rsidRPr="00E031E5" w:rsidRDefault="0067390C" w:rsidP="0067390C">
            <w:pPr>
              <w:spacing w:after="0" w:line="240" w:lineRule="auto"/>
              <w:rPr>
                <w:rFonts w:ascii="Verdana" w:eastAsia="Arial" w:hAnsi="Verdana" w:cs="Arial"/>
                <w:color w:val="000000" w:themeColor="text1"/>
                <w:sz w:val="16"/>
                <w:szCs w:val="16"/>
              </w:rPr>
            </w:pPr>
            <w:r w:rsidRPr="0067390C">
              <w:rPr>
                <w:rFonts w:ascii="Verdana" w:eastAsia="Arial" w:hAnsi="Verdana" w:cs="Arial"/>
                <w:color w:val="000000" w:themeColor="text1"/>
                <w:sz w:val="16"/>
                <w:szCs w:val="16"/>
              </w:rPr>
              <w:t>Correo Electrónico*</w:t>
            </w:r>
          </w:p>
        </w:tc>
      </w:tr>
      <w:tr w:rsidR="0067390C" w:rsidRPr="00666AB9" w14:paraId="022C69D5" w14:textId="77777777" w:rsidTr="00590995">
        <w:trPr>
          <w:trHeight w:val="117"/>
        </w:trPr>
        <w:tc>
          <w:tcPr>
            <w:tcW w:w="960" w:type="dxa"/>
            <w:tcMar>
              <w:top w:w="30" w:type="dxa"/>
              <w:left w:w="30" w:type="dxa"/>
              <w:bottom w:w="30" w:type="dxa"/>
              <w:right w:w="30" w:type="dxa"/>
            </w:tcMar>
            <w:vAlign w:val="center"/>
          </w:tcPr>
          <w:p w14:paraId="780D55A8" w14:textId="658E44B0" w:rsidR="0067390C" w:rsidRPr="00666AB9" w:rsidRDefault="0067390C" w:rsidP="0067390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2F65712E" w:rsidR="0067390C" w:rsidRPr="00666AB9" w:rsidRDefault="0067390C" w:rsidP="0067390C">
            <w:pPr>
              <w:spacing w:after="0" w:line="240" w:lineRule="auto"/>
              <w:jc w:val="center"/>
              <w:rPr>
                <w:rFonts w:ascii="Verdana" w:eastAsia="Arial" w:hAnsi="Verdana" w:cs="Arial"/>
                <w:b/>
                <w:bCs/>
                <w:color w:val="000000" w:themeColor="text1"/>
                <w:sz w:val="16"/>
                <w:szCs w:val="16"/>
              </w:rPr>
            </w:pPr>
            <w:r w:rsidRPr="00CD224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0400BC0F" w:rsidR="0067390C" w:rsidRPr="00E031E5" w:rsidRDefault="0067390C" w:rsidP="0067390C">
            <w:pPr>
              <w:spacing w:after="0" w:line="240" w:lineRule="auto"/>
              <w:rPr>
                <w:rFonts w:ascii="Verdana" w:eastAsia="Arial" w:hAnsi="Verdana" w:cs="Arial"/>
                <w:color w:val="000000" w:themeColor="text1"/>
                <w:sz w:val="16"/>
                <w:szCs w:val="16"/>
              </w:rPr>
            </w:pPr>
            <w:r w:rsidRPr="009F2603">
              <w:rPr>
                <w:rFonts w:ascii="Verdana" w:eastAsia="Arial" w:hAnsi="Verdana" w:cs="Arial"/>
                <w:color w:val="000000" w:themeColor="text1"/>
                <w:sz w:val="16"/>
                <w:szCs w:val="16"/>
              </w:rPr>
              <w:t>Acta</w:t>
            </w:r>
          </w:p>
        </w:tc>
      </w:tr>
      <w:tr w:rsidR="0067390C" w:rsidRPr="00666AB9" w14:paraId="1C9C87F8" w14:textId="77777777" w:rsidTr="00590995">
        <w:trPr>
          <w:trHeight w:val="117"/>
        </w:trPr>
        <w:tc>
          <w:tcPr>
            <w:tcW w:w="960" w:type="dxa"/>
            <w:tcMar>
              <w:top w:w="30" w:type="dxa"/>
              <w:left w:w="30" w:type="dxa"/>
              <w:bottom w:w="30" w:type="dxa"/>
              <w:right w:w="30" w:type="dxa"/>
            </w:tcMar>
            <w:vAlign w:val="center"/>
          </w:tcPr>
          <w:p w14:paraId="6E20B3BB" w14:textId="1DEDF14D" w:rsidR="0067390C" w:rsidRPr="00666AB9" w:rsidRDefault="0067390C" w:rsidP="0067390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61B3BFA2" w:rsidR="0067390C" w:rsidRPr="00666AB9" w:rsidRDefault="0067390C" w:rsidP="0067390C">
            <w:pPr>
              <w:spacing w:after="0" w:line="240" w:lineRule="auto"/>
              <w:jc w:val="center"/>
              <w:rPr>
                <w:rFonts w:ascii="Verdana" w:eastAsia="Arial" w:hAnsi="Verdana" w:cs="Arial"/>
                <w:b/>
                <w:bCs/>
                <w:color w:val="000000" w:themeColor="text1"/>
                <w:sz w:val="16"/>
                <w:szCs w:val="16"/>
              </w:rPr>
            </w:pPr>
            <w:r w:rsidRPr="00CD224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EA1B14B" w:rsidR="0067390C" w:rsidRPr="00E031E5" w:rsidRDefault="0067390C" w:rsidP="0067390C">
            <w:pPr>
              <w:spacing w:after="0" w:line="240" w:lineRule="auto"/>
              <w:rPr>
                <w:rFonts w:ascii="Verdana" w:eastAsia="Arial" w:hAnsi="Verdana" w:cs="Arial"/>
                <w:color w:val="000000" w:themeColor="text1"/>
                <w:sz w:val="16"/>
                <w:szCs w:val="16"/>
              </w:rPr>
            </w:pPr>
            <w:r w:rsidRPr="009F2603">
              <w:rPr>
                <w:rFonts w:ascii="Verdana" w:eastAsia="Arial" w:hAnsi="Verdana" w:cs="Arial"/>
                <w:color w:val="000000" w:themeColor="text1"/>
                <w:sz w:val="16"/>
                <w:szCs w:val="16"/>
              </w:rPr>
              <w:t>Resolución</w:t>
            </w:r>
          </w:p>
        </w:tc>
      </w:tr>
      <w:tr w:rsidR="0067390C" w:rsidRPr="00666AB9" w14:paraId="3A750AA8" w14:textId="77777777" w:rsidTr="00590995">
        <w:trPr>
          <w:trHeight w:val="117"/>
        </w:trPr>
        <w:tc>
          <w:tcPr>
            <w:tcW w:w="960" w:type="dxa"/>
            <w:tcMar>
              <w:top w:w="30" w:type="dxa"/>
              <w:left w:w="30" w:type="dxa"/>
              <w:bottom w:w="30" w:type="dxa"/>
              <w:right w:w="30" w:type="dxa"/>
            </w:tcMar>
            <w:vAlign w:val="center"/>
          </w:tcPr>
          <w:p w14:paraId="136A6AE4" w14:textId="4C4ED6E3" w:rsidR="0067390C" w:rsidRPr="00666AB9" w:rsidRDefault="0067390C" w:rsidP="0067390C">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47CBA675" w:rsidR="0067390C" w:rsidRPr="00666AB9" w:rsidRDefault="0067390C" w:rsidP="0067390C">
            <w:pPr>
              <w:spacing w:after="0" w:line="240" w:lineRule="auto"/>
              <w:jc w:val="center"/>
              <w:rPr>
                <w:rFonts w:ascii="Verdana" w:eastAsia="Arial" w:hAnsi="Verdana" w:cs="Arial"/>
                <w:b/>
                <w:bCs/>
                <w:color w:val="000000" w:themeColor="text1"/>
                <w:sz w:val="16"/>
                <w:szCs w:val="16"/>
              </w:rPr>
            </w:pPr>
            <w:r w:rsidRPr="00CD224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23A37808" w:rsidR="0067390C" w:rsidRPr="00E031E5" w:rsidRDefault="0067390C" w:rsidP="0067390C">
            <w:pPr>
              <w:spacing w:after="0" w:line="240" w:lineRule="auto"/>
              <w:rPr>
                <w:rFonts w:ascii="Verdana" w:eastAsia="Arial" w:hAnsi="Verdana" w:cs="Arial"/>
                <w:color w:val="000000" w:themeColor="text1"/>
                <w:sz w:val="16"/>
                <w:szCs w:val="16"/>
              </w:rPr>
            </w:pPr>
            <w:r w:rsidRPr="009F2603">
              <w:rPr>
                <w:rFonts w:ascii="Verdana" w:eastAsia="Arial" w:hAnsi="Verdana" w:cs="Arial"/>
                <w:color w:val="000000" w:themeColor="text1"/>
                <w:sz w:val="16"/>
                <w:szCs w:val="16"/>
              </w:rPr>
              <w:t>Expediente del Programa fomento a la industria automotriz</w:t>
            </w:r>
          </w:p>
        </w:tc>
      </w:tr>
    </w:tbl>
    <w:p w14:paraId="0009A546" w14:textId="17F0D061" w:rsidR="172D2D76" w:rsidRPr="00666AB9" w:rsidRDefault="172D2D76" w:rsidP="172D2D76">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98302B7" w:rsidR="00EA0826" w:rsidRPr="00666AB9" w:rsidRDefault="00C6229A"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D05EDF6" w14:textId="0A7AF473"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49404F" w:rsidRPr="0049404F">
              <w:rPr>
                <w:rFonts w:ascii="Verdana" w:hAnsi="Verdana" w:cs="Arial"/>
                <w:bCs/>
                <w:color w:val="000000"/>
                <w:sz w:val="16"/>
                <w:szCs w:val="16"/>
              </w:rPr>
              <w:t>DM-PR-010</w:t>
            </w:r>
            <w:r w:rsidR="006F0B46">
              <w:rPr>
                <w:rFonts w:ascii="Verdana" w:hAnsi="Verdana" w:cs="Arial"/>
                <w:bCs/>
                <w:color w:val="000000"/>
                <w:sz w:val="16"/>
                <w:szCs w:val="16"/>
              </w:rPr>
              <w:t xml:space="preserve"> V1</w:t>
            </w:r>
          </w:p>
          <w:p w14:paraId="45D52221" w14:textId="77777777" w:rsidR="0067390C" w:rsidRDefault="0067390C" w:rsidP="003033FD">
            <w:pPr>
              <w:spacing w:after="0" w:line="240" w:lineRule="auto"/>
              <w:jc w:val="both"/>
              <w:rPr>
                <w:rFonts w:ascii="Verdana" w:hAnsi="Verdana" w:cs="Arial"/>
                <w:bCs/>
                <w:color w:val="000000"/>
                <w:sz w:val="16"/>
                <w:szCs w:val="16"/>
              </w:rPr>
            </w:pPr>
          </w:p>
          <w:p w14:paraId="09F7FA7B" w14:textId="77777777" w:rsidR="00C6229A" w:rsidRDefault="00C6229A" w:rsidP="00C6229A">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950EA92" w14:textId="77777777" w:rsidR="00C6229A" w:rsidRDefault="00C6229A" w:rsidP="00C6229A">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C6229A" w:rsidRPr="002477AA" w14:paraId="4724EE73" w14:textId="77777777" w:rsidTr="00FB4FAF">
              <w:tc>
                <w:tcPr>
                  <w:tcW w:w="3995" w:type="dxa"/>
                </w:tcPr>
                <w:p w14:paraId="0043AB20" w14:textId="77777777" w:rsidR="00C6229A" w:rsidRPr="002477AA" w:rsidRDefault="00C6229A" w:rsidP="00C6229A">
                  <w:pPr>
                    <w:jc w:val="center"/>
                    <w:rPr>
                      <w:rFonts w:ascii="Verdana" w:hAnsi="Verdana" w:cs="Arial"/>
                      <w:bCs/>
                      <w:color w:val="000000" w:themeColor="text1"/>
                      <w:sz w:val="16"/>
                      <w:szCs w:val="21"/>
                    </w:rPr>
                  </w:pPr>
                  <w:r w:rsidRPr="002477AA">
                    <w:rPr>
                      <w:rFonts w:ascii="Verdana" w:hAnsi="Verdana" w:cs="Arial"/>
                      <w:bCs/>
                      <w:color w:val="000000" w:themeColor="text1"/>
                      <w:sz w:val="16"/>
                      <w:szCs w:val="21"/>
                    </w:rPr>
                    <w:t>REVISÓ</w:t>
                  </w:r>
                </w:p>
              </w:tc>
              <w:tc>
                <w:tcPr>
                  <w:tcW w:w="3995" w:type="dxa"/>
                </w:tcPr>
                <w:p w14:paraId="3F089410" w14:textId="77777777" w:rsidR="00C6229A" w:rsidRPr="002477AA" w:rsidRDefault="00C6229A" w:rsidP="00C6229A">
                  <w:pPr>
                    <w:jc w:val="center"/>
                    <w:rPr>
                      <w:rFonts w:ascii="Verdana" w:hAnsi="Verdana" w:cs="Arial"/>
                      <w:bCs/>
                      <w:color w:val="000000" w:themeColor="text1"/>
                      <w:sz w:val="16"/>
                      <w:szCs w:val="21"/>
                    </w:rPr>
                  </w:pPr>
                  <w:r w:rsidRPr="002477AA">
                    <w:rPr>
                      <w:rFonts w:ascii="Verdana" w:hAnsi="Verdana" w:cs="Arial"/>
                      <w:bCs/>
                      <w:color w:val="000000" w:themeColor="text1"/>
                      <w:sz w:val="16"/>
                      <w:szCs w:val="21"/>
                    </w:rPr>
                    <w:t>APROBÓ</w:t>
                  </w:r>
                </w:p>
              </w:tc>
            </w:tr>
            <w:tr w:rsidR="00C6229A" w:rsidRPr="002477AA" w14:paraId="17F35EB8" w14:textId="77777777" w:rsidTr="00FB4FAF">
              <w:tc>
                <w:tcPr>
                  <w:tcW w:w="3995" w:type="dxa"/>
                </w:tcPr>
                <w:p w14:paraId="0EA49AB1" w14:textId="77777777" w:rsidR="001B71E2" w:rsidRPr="002477AA" w:rsidRDefault="001B71E2" w:rsidP="00C6229A">
                  <w:pPr>
                    <w:jc w:val="both"/>
                    <w:rPr>
                      <w:rFonts w:ascii="Verdana" w:hAnsi="Verdana" w:cs="Arial"/>
                      <w:bCs/>
                      <w:color w:val="000000" w:themeColor="text1"/>
                      <w:sz w:val="16"/>
                      <w:szCs w:val="21"/>
                    </w:rPr>
                  </w:pPr>
                  <w:r w:rsidRPr="002477AA">
                    <w:rPr>
                      <w:rFonts w:ascii="Verdana" w:hAnsi="Verdana" w:cs="Arial"/>
                      <w:bCs/>
                      <w:color w:val="000000" w:themeColor="text1"/>
                      <w:sz w:val="16"/>
                      <w:szCs w:val="21"/>
                    </w:rPr>
                    <w:t>CARLOS ANDRÉS ARÉVALO PÉREZ</w:t>
                  </w:r>
                </w:p>
                <w:p w14:paraId="22EA2FB0" w14:textId="77777777" w:rsidR="00C6229A" w:rsidRPr="002477AA" w:rsidRDefault="00C6229A" w:rsidP="00C6229A">
                  <w:pPr>
                    <w:jc w:val="both"/>
                    <w:rPr>
                      <w:rFonts w:ascii="Verdana" w:hAnsi="Verdana" w:cs="Arial"/>
                      <w:bCs/>
                      <w:color w:val="000000" w:themeColor="text1"/>
                      <w:sz w:val="16"/>
                      <w:szCs w:val="21"/>
                    </w:rPr>
                  </w:pPr>
                  <w:r w:rsidRPr="002477AA">
                    <w:rPr>
                      <w:rFonts w:ascii="Verdana" w:hAnsi="Verdana" w:cs="Arial"/>
                      <w:bCs/>
                      <w:color w:val="000000" w:themeColor="text1"/>
                      <w:sz w:val="16"/>
                      <w:szCs w:val="21"/>
                    </w:rPr>
                    <w:t>Cargo:</w:t>
                  </w:r>
                  <w:r w:rsidR="001B71E2" w:rsidRPr="002477AA">
                    <w:rPr>
                      <w:rFonts w:ascii="Verdana" w:hAnsi="Verdana" w:cs="Arial"/>
                      <w:bCs/>
                      <w:color w:val="000000" w:themeColor="text1"/>
                      <w:sz w:val="16"/>
                      <w:szCs w:val="21"/>
                    </w:rPr>
                    <w:t xml:space="preserve"> No aplica</w:t>
                  </w:r>
                </w:p>
                <w:p w14:paraId="25593AAE" w14:textId="77777777" w:rsidR="001B71E2" w:rsidRPr="002477AA" w:rsidRDefault="001B71E2" w:rsidP="00C6229A">
                  <w:pPr>
                    <w:jc w:val="both"/>
                    <w:rPr>
                      <w:rFonts w:ascii="Verdana" w:hAnsi="Verdana" w:cs="Arial"/>
                      <w:bCs/>
                      <w:color w:val="000000" w:themeColor="text1"/>
                      <w:sz w:val="16"/>
                      <w:szCs w:val="21"/>
                    </w:rPr>
                  </w:pPr>
                </w:p>
                <w:p w14:paraId="03F592F1" w14:textId="77777777" w:rsidR="001B71E2" w:rsidRPr="002477AA" w:rsidRDefault="002477AA" w:rsidP="00C6229A">
                  <w:pPr>
                    <w:jc w:val="both"/>
                    <w:rPr>
                      <w:rFonts w:ascii="Verdana" w:hAnsi="Verdana" w:cs="Arial"/>
                      <w:bCs/>
                      <w:color w:val="000000" w:themeColor="text1"/>
                      <w:sz w:val="16"/>
                      <w:szCs w:val="21"/>
                    </w:rPr>
                  </w:pPr>
                  <w:r w:rsidRPr="002477AA">
                    <w:rPr>
                      <w:rFonts w:ascii="Verdana" w:hAnsi="Verdana" w:cs="Arial"/>
                      <w:bCs/>
                      <w:color w:val="000000" w:themeColor="text1"/>
                      <w:sz w:val="16"/>
                      <w:szCs w:val="21"/>
                    </w:rPr>
                    <w:t>ALEJANDRO TORRES PERICO</w:t>
                  </w:r>
                </w:p>
                <w:p w14:paraId="053FA2A7" w14:textId="549FF997" w:rsidR="002477AA" w:rsidRPr="002477AA" w:rsidRDefault="002477AA" w:rsidP="002477AA">
                  <w:pPr>
                    <w:jc w:val="both"/>
                    <w:rPr>
                      <w:rFonts w:ascii="Arial" w:hAnsi="Arial" w:cs="Arial"/>
                      <w:color w:val="000000" w:themeColor="text1"/>
                      <w:sz w:val="18"/>
                      <w:szCs w:val="18"/>
                    </w:rPr>
                  </w:pPr>
                  <w:r w:rsidRPr="002477AA">
                    <w:rPr>
                      <w:rFonts w:ascii="Verdana" w:hAnsi="Verdana" w:cs="Arial"/>
                      <w:bCs/>
                      <w:color w:val="000000" w:themeColor="text1"/>
                      <w:sz w:val="16"/>
                      <w:szCs w:val="21"/>
                    </w:rPr>
                    <w:lastRenderedPageBreak/>
                    <w:t xml:space="preserve">Cargo: </w:t>
                  </w:r>
                  <w:r w:rsidRPr="002477AA">
                    <w:rPr>
                      <w:rFonts w:ascii="Verdana" w:hAnsi="Verdana" w:cs="Arial"/>
                      <w:color w:val="000000" w:themeColor="text1"/>
                      <w:sz w:val="16"/>
                      <w:szCs w:val="16"/>
                    </w:rPr>
                    <w:t>Jefe Oficina Asesora de Planeación Sectorial</w:t>
                  </w:r>
                </w:p>
                <w:p w14:paraId="1C808E1C" w14:textId="7AB96A36" w:rsidR="002477AA" w:rsidRPr="002477AA" w:rsidRDefault="002477AA" w:rsidP="00C6229A">
                  <w:pPr>
                    <w:jc w:val="both"/>
                    <w:rPr>
                      <w:rFonts w:ascii="Verdana" w:hAnsi="Verdana" w:cs="Arial"/>
                      <w:bCs/>
                      <w:color w:val="000000" w:themeColor="text1"/>
                      <w:sz w:val="16"/>
                      <w:szCs w:val="21"/>
                    </w:rPr>
                  </w:pPr>
                </w:p>
              </w:tc>
              <w:tc>
                <w:tcPr>
                  <w:tcW w:w="3995" w:type="dxa"/>
                </w:tcPr>
                <w:p w14:paraId="01794DB6" w14:textId="77777777" w:rsidR="001B71E2" w:rsidRPr="002477AA" w:rsidRDefault="001B71E2" w:rsidP="00C6229A">
                  <w:pPr>
                    <w:jc w:val="both"/>
                    <w:rPr>
                      <w:rFonts w:ascii="Verdana" w:hAnsi="Verdana" w:cs="Arial"/>
                      <w:bCs/>
                      <w:color w:val="000000" w:themeColor="text1"/>
                      <w:sz w:val="16"/>
                      <w:szCs w:val="21"/>
                    </w:rPr>
                  </w:pPr>
                  <w:r w:rsidRPr="002477AA">
                    <w:rPr>
                      <w:rFonts w:ascii="Verdana" w:hAnsi="Verdana" w:cs="Arial"/>
                      <w:bCs/>
                      <w:color w:val="000000" w:themeColor="text1"/>
                      <w:sz w:val="16"/>
                      <w:szCs w:val="21"/>
                    </w:rPr>
                    <w:lastRenderedPageBreak/>
                    <w:t>CARLOS ANDRÉS ARÉVALO PÉREZ</w:t>
                  </w:r>
                </w:p>
                <w:p w14:paraId="2FD84C49" w14:textId="1E2B7B38" w:rsidR="00C6229A" w:rsidRPr="002477AA" w:rsidRDefault="00C6229A" w:rsidP="00C6229A">
                  <w:pPr>
                    <w:jc w:val="both"/>
                    <w:rPr>
                      <w:rFonts w:ascii="Verdana" w:hAnsi="Verdana" w:cs="Arial"/>
                      <w:bCs/>
                      <w:color w:val="000000" w:themeColor="text1"/>
                      <w:sz w:val="16"/>
                      <w:szCs w:val="21"/>
                    </w:rPr>
                  </w:pPr>
                  <w:r w:rsidRPr="002477AA">
                    <w:rPr>
                      <w:rFonts w:ascii="Verdana" w:hAnsi="Verdana" w:cs="Arial"/>
                      <w:bCs/>
                      <w:color w:val="000000" w:themeColor="text1"/>
                      <w:sz w:val="16"/>
                      <w:szCs w:val="21"/>
                    </w:rPr>
                    <w:t>Cargo:</w:t>
                  </w:r>
                  <w:r w:rsidRPr="002477AA">
                    <w:rPr>
                      <w:rFonts w:ascii="Arial" w:hAnsi="Arial" w:cs="Arial"/>
                      <w:color w:val="000000" w:themeColor="text1"/>
                      <w:sz w:val="18"/>
                      <w:szCs w:val="18"/>
                    </w:rPr>
                    <w:t xml:space="preserve"> </w:t>
                  </w:r>
                  <w:r w:rsidR="001B71E2" w:rsidRPr="002477AA">
                    <w:rPr>
                      <w:rFonts w:ascii="Verdana" w:hAnsi="Verdana" w:cs="Arial"/>
                      <w:bCs/>
                      <w:color w:val="000000" w:themeColor="text1"/>
                      <w:sz w:val="16"/>
                      <w:szCs w:val="21"/>
                    </w:rPr>
                    <w:t>No aplica</w:t>
                  </w:r>
                </w:p>
              </w:tc>
            </w:tr>
          </w:tbl>
          <w:p w14:paraId="6E857648" w14:textId="77777777" w:rsidR="00C6229A" w:rsidRDefault="00C6229A" w:rsidP="00C6229A">
            <w:pPr>
              <w:spacing w:after="0" w:line="240" w:lineRule="auto"/>
              <w:jc w:val="both"/>
              <w:rPr>
                <w:rFonts w:ascii="Verdana" w:hAnsi="Verdana" w:cs="Arial"/>
                <w:bCs/>
                <w:color w:val="000000"/>
                <w:sz w:val="16"/>
                <w:szCs w:val="21"/>
              </w:rPr>
            </w:pPr>
          </w:p>
          <w:p w14:paraId="4CF8C849" w14:textId="280E6AC8" w:rsidR="0067390C" w:rsidRPr="00666AB9" w:rsidRDefault="00C6229A"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614A" w14:textId="77777777" w:rsidR="00E1260B" w:rsidRDefault="00E1260B" w:rsidP="00FF09A0">
      <w:pPr>
        <w:spacing w:after="0" w:line="240" w:lineRule="auto"/>
      </w:pPr>
      <w:r>
        <w:separator/>
      </w:r>
    </w:p>
  </w:endnote>
  <w:endnote w:type="continuationSeparator" w:id="0">
    <w:p w14:paraId="79F8F04A" w14:textId="77777777" w:rsidR="00E1260B" w:rsidRDefault="00E1260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6984" w14:textId="77777777" w:rsidR="00E1260B" w:rsidRDefault="00E1260B" w:rsidP="00FF09A0">
      <w:pPr>
        <w:spacing w:after="0" w:line="240" w:lineRule="auto"/>
      </w:pPr>
      <w:r>
        <w:separator/>
      </w:r>
    </w:p>
  </w:footnote>
  <w:footnote w:type="continuationSeparator" w:id="0">
    <w:p w14:paraId="6A97B859" w14:textId="77777777" w:rsidR="00E1260B" w:rsidRDefault="00E1260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5C1A26D"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80F5E" w:rsidRPr="00580F5E">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076696A" w:rsidR="4F8B75BB" w:rsidRPr="00666AB9" w:rsidRDefault="0049404F"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PROGRAMA DE FOMENTO A LA INDUSTRIA AUTOMOTRIZ</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7B540CB"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A4549F">
            <w:rPr>
              <w:rFonts w:ascii="Verdana" w:eastAsia="Arial" w:hAnsi="Verdana" w:cs="Arial"/>
              <w:color w:val="000000" w:themeColor="text1"/>
              <w:sz w:val="16"/>
              <w:szCs w:val="16"/>
            </w:rPr>
            <w:t>008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F1D23C8" w:rsidR="618C038B" w:rsidRPr="00666AB9" w:rsidRDefault="00A4549F"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83690149">
    <w:abstractNumId w:val="13"/>
  </w:num>
  <w:num w:numId="2" w16cid:durableId="2048794816">
    <w:abstractNumId w:val="4"/>
  </w:num>
  <w:num w:numId="3" w16cid:durableId="460611583">
    <w:abstractNumId w:val="1"/>
  </w:num>
  <w:num w:numId="4" w16cid:durableId="1073628475">
    <w:abstractNumId w:val="8"/>
  </w:num>
  <w:num w:numId="5" w16cid:durableId="588735308">
    <w:abstractNumId w:val="12"/>
  </w:num>
  <w:num w:numId="6" w16cid:durableId="1943220517">
    <w:abstractNumId w:val="2"/>
  </w:num>
  <w:num w:numId="7" w16cid:durableId="489255298">
    <w:abstractNumId w:val="0"/>
  </w:num>
  <w:num w:numId="8" w16cid:durableId="233007073">
    <w:abstractNumId w:val="3"/>
  </w:num>
  <w:num w:numId="9" w16cid:durableId="285936524">
    <w:abstractNumId w:val="9"/>
  </w:num>
  <w:num w:numId="10" w16cid:durableId="1500805391">
    <w:abstractNumId w:val="5"/>
  </w:num>
  <w:num w:numId="11" w16cid:durableId="157813035">
    <w:abstractNumId w:val="10"/>
  </w:num>
  <w:num w:numId="12" w16cid:durableId="1063024002">
    <w:abstractNumId w:val="7"/>
  </w:num>
  <w:num w:numId="13" w16cid:durableId="889919838">
    <w:abstractNumId w:val="6"/>
  </w:num>
  <w:num w:numId="14" w16cid:durableId="1204750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5D76"/>
    <w:rsid w:val="000A6C04"/>
    <w:rsid w:val="000B4925"/>
    <w:rsid w:val="000B497A"/>
    <w:rsid w:val="000C2CEB"/>
    <w:rsid w:val="000E5FFE"/>
    <w:rsid w:val="000E7D9B"/>
    <w:rsid w:val="000F1080"/>
    <w:rsid w:val="00111E13"/>
    <w:rsid w:val="00136A11"/>
    <w:rsid w:val="00145F13"/>
    <w:rsid w:val="001B71E2"/>
    <w:rsid w:val="001C5FBA"/>
    <w:rsid w:val="001C6CBA"/>
    <w:rsid w:val="001D0B5F"/>
    <w:rsid w:val="001E7211"/>
    <w:rsid w:val="0020121F"/>
    <w:rsid w:val="00223AA5"/>
    <w:rsid w:val="00237C40"/>
    <w:rsid w:val="0024300F"/>
    <w:rsid w:val="0024690F"/>
    <w:rsid w:val="002477AA"/>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3E6801"/>
    <w:rsid w:val="00400C58"/>
    <w:rsid w:val="00403988"/>
    <w:rsid w:val="0040542A"/>
    <w:rsid w:val="00416D2C"/>
    <w:rsid w:val="00454302"/>
    <w:rsid w:val="0049404F"/>
    <w:rsid w:val="004A258A"/>
    <w:rsid w:val="004A3BE9"/>
    <w:rsid w:val="004B7F25"/>
    <w:rsid w:val="004E73E5"/>
    <w:rsid w:val="004F2A29"/>
    <w:rsid w:val="004F799A"/>
    <w:rsid w:val="005034CA"/>
    <w:rsid w:val="00527566"/>
    <w:rsid w:val="00535FDD"/>
    <w:rsid w:val="00570D5D"/>
    <w:rsid w:val="00573D13"/>
    <w:rsid w:val="00580F5E"/>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7390C"/>
    <w:rsid w:val="0068318E"/>
    <w:rsid w:val="00684262"/>
    <w:rsid w:val="0069702B"/>
    <w:rsid w:val="006B12B9"/>
    <w:rsid w:val="006B1F16"/>
    <w:rsid w:val="006C52F0"/>
    <w:rsid w:val="006D1AB7"/>
    <w:rsid w:val="006E1279"/>
    <w:rsid w:val="006F0A35"/>
    <w:rsid w:val="006F0B46"/>
    <w:rsid w:val="006F3D2D"/>
    <w:rsid w:val="007124C9"/>
    <w:rsid w:val="00713034"/>
    <w:rsid w:val="0072655E"/>
    <w:rsid w:val="00731B2F"/>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2603"/>
    <w:rsid w:val="009F44E8"/>
    <w:rsid w:val="00A02DE1"/>
    <w:rsid w:val="00A113D7"/>
    <w:rsid w:val="00A115BC"/>
    <w:rsid w:val="00A1563F"/>
    <w:rsid w:val="00A202A6"/>
    <w:rsid w:val="00A22F3F"/>
    <w:rsid w:val="00A32148"/>
    <w:rsid w:val="00A35B13"/>
    <w:rsid w:val="00A4549F"/>
    <w:rsid w:val="00A570F6"/>
    <w:rsid w:val="00A6534E"/>
    <w:rsid w:val="00A669EA"/>
    <w:rsid w:val="00A70643"/>
    <w:rsid w:val="00A75D0E"/>
    <w:rsid w:val="00A76CDB"/>
    <w:rsid w:val="00A770ED"/>
    <w:rsid w:val="00A808A4"/>
    <w:rsid w:val="00A85151"/>
    <w:rsid w:val="00AA2234"/>
    <w:rsid w:val="00AD5DB2"/>
    <w:rsid w:val="00AD62FA"/>
    <w:rsid w:val="00AD6B3B"/>
    <w:rsid w:val="00AD7470"/>
    <w:rsid w:val="00AF2851"/>
    <w:rsid w:val="00AF3BAE"/>
    <w:rsid w:val="00B07EC5"/>
    <w:rsid w:val="00B10731"/>
    <w:rsid w:val="00B1166B"/>
    <w:rsid w:val="00B12631"/>
    <w:rsid w:val="00B2097D"/>
    <w:rsid w:val="00B37A7C"/>
    <w:rsid w:val="00B679FA"/>
    <w:rsid w:val="00B838E7"/>
    <w:rsid w:val="00BA58FB"/>
    <w:rsid w:val="00BB1B01"/>
    <w:rsid w:val="00BB4EAC"/>
    <w:rsid w:val="00BB63A6"/>
    <w:rsid w:val="00BF0230"/>
    <w:rsid w:val="00C1728E"/>
    <w:rsid w:val="00C21389"/>
    <w:rsid w:val="00C33928"/>
    <w:rsid w:val="00C458C4"/>
    <w:rsid w:val="00C46177"/>
    <w:rsid w:val="00C6229A"/>
    <w:rsid w:val="00C63B16"/>
    <w:rsid w:val="00C71896"/>
    <w:rsid w:val="00C71CC6"/>
    <w:rsid w:val="00C729AD"/>
    <w:rsid w:val="00C77DA4"/>
    <w:rsid w:val="00C8072D"/>
    <w:rsid w:val="00C823B2"/>
    <w:rsid w:val="00CA776F"/>
    <w:rsid w:val="00CC6239"/>
    <w:rsid w:val="00CD3C2F"/>
    <w:rsid w:val="00CE0005"/>
    <w:rsid w:val="00CE1614"/>
    <w:rsid w:val="00D102FF"/>
    <w:rsid w:val="00D14EE3"/>
    <w:rsid w:val="00D27F6A"/>
    <w:rsid w:val="00D30510"/>
    <w:rsid w:val="00D4353B"/>
    <w:rsid w:val="00D8671B"/>
    <w:rsid w:val="00DA19DE"/>
    <w:rsid w:val="00DC606B"/>
    <w:rsid w:val="00E031E5"/>
    <w:rsid w:val="00E1260B"/>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E25"/>
    <w:rsid w:val="00F06927"/>
    <w:rsid w:val="00F141C1"/>
    <w:rsid w:val="00F1461B"/>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664431085">
      <w:bodyDiv w:val="1"/>
      <w:marLeft w:val="0"/>
      <w:marRight w:val="0"/>
      <w:marTop w:val="0"/>
      <w:marBottom w:val="0"/>
      <w:divBdr>
        <w:top w:val="none" w:sz="0" w:space="0" w:color="auto"/>
        <w:left w:val="none" w:sz="0" w:space="0" w:color="auto"/>
        <w:bottom w:val="none" w:sz="0" w:space="0" w:color="auto"/>
        <w:right w:val="none" w:sz="0" w:space="0" w:color="auto"/>
      </w:divBdr>
      <w:divsChild>
        <w:div w:id="1498962677">
          <w:marLeft w:val="0"/>
          <w:marRight w:val="0"/>
          <w:marTop w:val="0"/>
          <w:marBottom w:val="0"/>
          <w:divBdr>
            <w:top w:val="none" w:sz="0" w:space="0" w:color="auto"/>
            <w:left w:val="none" w:sz="0" w:space="0" w:color="auto"/>
            <w:bottom w:val="none" w:sz="0" w:space="0" w:color="auto"/>
            <w:right w:val="none" w:sz="0" w:space="0" w:color="auto"/>
          </w:divBdr>
        </w:div>
      </w:divsChild>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81212280">
      <w:bodyDiv w:val="1"/>
      <w:marLeft w:val="0"/>
      <w:marRight w:val="0"/>
      <w:marTop w:val="0"/>
      <w:marBottom w:val="0"/>
      <w:divBdr>
        <w:top w:val="none" w:sz="0" w:space="0" w:color="auto"/>
        <w:left w:val="none" w:sz="0" w:space="0" w:color="auto"/>
        <w:bottom w:val="none" w:sz="0" w:space="0" w:color="auto"/>
        <w:right w:val="none" w:sz="0" w:space="0" w:color="auto"/>
      </w:divBdr>
      <w:divsChild>
        <w:div w:id="2130972028">
          <w:marLeft w:val="0"/>
          <w:marRight w:val="0"/>
          <w:marTop w:val="0"/>
          <w:marBottom w:val="0"/>
          <w:divBdr>
            <w:top w:val="none" w:sz="0" w:space="0" w:color="auto"/>
            <w:left w:val="none" w:sz="0" w:space="0" w:color="auto"/>
            <w:bottom w:val="none" w:sz="0" w:space="0" w:color="auto"/>
            <w:right w:val="none" w:sz="0" w:space="0" w:color="auto"/>
          </w:divBdr>
        </w:div>
      </w:divsChild>
    </w:div>
    <w:div w:id="957251302">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60857876">
      <w:bodyDiv w:val="1"/>
      <w:marLeft w:val="0"/>
      <w:marRight w:val="0"/>
      <w:marTop w:val="0"/>
      <w:marBottom w:val="0"/>
      <w:divBdr>
        <w:top w:val="none" w:sz="0" w:space="0" w:color="auto"/>
        <w:left w:val="none" w:sz="0" w:space="0" w:color="auto"/>
        <w:bottom w:val="none" w:sz="0" w:space="0" w:color="auto"/>
        <w:right w:val="none" w:sz="0" w:space="0" w:color="auto"/>
      </w:divBdr>
      <w:divsChild>
        <w:div w:id="1205294336">
          <w:marLeft w:val="0"/>
          <w:marRight w:val="0"/>
          <w:marTop w:val="0"/>
          <w:marBottom w:val="0"/>
          <w:divBdr>
            <w:top w:val="none" w:sz="0" w:space="0" w:color="auto"/>
            <w:left w:val="none" w:sz="0" w:space="0" w:color="auto"/>
            <w:bottom w:val="none" w:sz="0" w:space="0" w:color="auto"/>
            <w:right w:val="none" w:sz="0" w:space="0" w:color="auto"/>
          </w:divBdr>
        </w:div>
      </w:divsChild>
    </w:div>
    <w:div w:id="1408725220">
      <w:bodyDiv w:val="1"/>
      <w:marLeft w:val="0"/>
      <w:marRight w:val="0"/>
      <w:marTop w:val="0"/>
      <w:marBottom w:val="0"/>
      <w:divBdr>
        <w:top w:val="none" w:sz="0" w:space="0" w:color="auto"/>
        <w:left w:val="none" w:sz="0" w:space="0" w:color="auto"/>
        <w:bottom w:val="none" w:sz="0" w:space="0" w:color="auto"/>
        <w:right w:val="none" w:sz="0" w:space="0" w:color="auto"/>
      </w:divBdr>
      <w:divsChild>
        <w:div w:id="1158229344">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95749433">
      <w:bodyDiv w:val="1"/>
      <w:marLeft w:val="0"/>
      <w:marRight w:val="0"/>
      <w:marTop w:val="0"/>
      <w:marBottom w:val="0"/>
      <w:divBdr>
        <w:top w:val="none" w:sz="0" w:space="0" w:color="auto"/>
        <w:left w:val="none" w:sz="0" w:space="0" w:color="auto"/>
        <w:bottom w:val="none" w:sz="0" w:space="0" w:color="auto"/>
        <w:right w:val="none" w:sz="0" w:space="0" w:color="auto"/>
      </w:divBdr>
      <w:divsChild>
        <w:div w:id="197014021">
          <w:marLeft w:val="0"/>
          <w:marRight w:val="0"/>
          <w:marTop w:val="0"/>
          <w:marBottom w:val="0"/>
          <w:divBdr>
            <w:top w:val="none" w:sz="0" w:space="0" w:color="auto"/>
            <w:left w:val="none" w:sz="0" w:space="0" w:color="auto"/>
            <w:bottom w:val="none" w:sz="0" w:space="0" w:color="auto"/>
            <w:right w:val="none" w:sz="0" w:space="0" w:color="auto"/>
          </w:divBdr>
        </w:div>
      </w:divsChild>
    </w:div>
    <w:div w:id="1731732559">
      <w:bodyDiv w:val="1"/>
      <w:marLeft w:val="0"/>
      <w:marRight w:val="0"/>
      <w:marTop w:val="0"/>
      <w:marBottom w:val="0"/>
      <w:divBdr>
        <w:top w:val="none" w:sz="0" w:space="0" w:color="auto"/>
        <w:left w:val="none" w:sz="0" w:space="0" w:color="auto"/>
        <w:bottom w:val="none" w:sz="0" w:space="0" w:color="auto"/>
        <w:right w:val="none" w:sz="0" w:space="0" w:color="auto"/>
      </w:divBdr>
      <w:divsChild>
        <w:div w:id="277879909">
          <w:marLeft w:val="0"/>
          <w:marRight w:val="0"/>
          <w:marTop w:val="0"/>
          <w:marBottom w:val="0"/>
          <w:divBdr>
            <w:top w:val="none" w:sz="0" w:space="0" w:color="auto"/>
            <w:left w:val="none" w:sz="0" w:space="0" w:color="auto"/>
            <w:bottom w:val="none" w:sz="0" w:space="0" w:color="auto"/>
            <w:right w:val="none" w:sz="0" w:space="0" w:color="auto"/>
          </w:divBdr>
        </w:div>
      </w:divsChild>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0D953DE4-9826-4FB1-AB79-57E75143EAC0}">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2861</Words>
  <Characters>15739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14</cp:revision>
  <dcterms:created xsi:type="dcterms:W3CDTF">2025-09-13T17:40:00Z</dcterms:created>
  <dcterms:modified xsi:type="dcterms:W3CDTF">2026-05-23T17:50:00Z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