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Pr="005A5ECE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0725"/>
      </w:tblGrid>
      <w:tr w:rsidR="005A5ECE" w:rsidRPr="005A5ECE" w14:paraId="634FE375" w14:textId="77777777" w:rsidTr="005A5ECE">
        <w:trPr>
          <w:tblCellSpacing w:w="0" w:type="dxa"/>
        </w:trPr>
        <w:tc>
          <w:tcPr>
            <w:tcW w:w="75" w:type="dxa"/>
            <w:hideMark/>
          </w:tcPr>
          <w:p w14:paraId="0EE91CAC" w14:textId="15501575" w:rsidR="005A5ECE" w:rsidRPr="005A5ECE" w:rsidRDefault="005A5ECE" w:rsidP="005A5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A5ECE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3E18CF3" wp14:editId="6D7DFC97">
                  <wp:extent cx="6985" cy="6985"/>
                  <wp:effectExtent l="0" t="0" r="0" b="0"/>
                  <wp:docPr id="1" name="Imagen 1" descr="https://gestioncalidad.mincit.gov.co/IsolucionCalidad/g/vacio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stioncalidad.mincit.gov.co/IsolucionCalidad/g/vacio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FFDB686" w14:textId="77777777" w:rsidR="005A5ECE" w:rsidRPr="005A5ECE" w:rsidRDefault="005A5ECE" w:rsidP="005A5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A5ECE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 xml:space="preserve">Tomar decisiones a través del Comité Nacional del Codex Alimentarius para definir posición país sobre proyectos de normas </w:t>
            </w:r>
            <w:proofErr w:type="spellStart"/>
            <w:r w:rsidRPr="005A5ECE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codex</w:t>
            </w:r>
            <w:proofErr w:type="spellEnd"/>
            <w:r w:rsidRPr="005A5ECE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 xml:space="preserve">, directrices, códigos de prácticas y textos afines procedentes de los Órganos Auxiliares (Comités de Asuntos Generales, Comités de Productos, Grupos de Acción Intergubernamentales, Grupos de Trabajos Electrónicos o Presenciales, Órganos de Expertos de Asesoramiento Científico, Comité Ejecutivo y la Comisión del Codex </w:t>
            </w:r>
            <w:proofErr w:type="spellStart"/>
            <w:r w:rsidRPr="005A5ECE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Almentarius</w:t>
            </w:r>
            <w:proofErr w:type="spellEnd"/>
            <w:r w:rsidRPr="005A5ECE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. </w:t>
            </w:r>
          </w:p>
        </w:tc>
      </w:tr>
    </w:tbl>
    <w:p w14:paraId="5AE3BD65" w14:textId="77777777" w:rsidR="002F176B" w:rsidRPr="005A5ECE" w:rsidRDefault="002F176B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5A5ECE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5A5ECE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3C53F2DC" w:rsidR="00EA0826" w:rsidRPr="005A5ECE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98B517" w14:textId="0304D7EA" w:rsidR="005A5ECE" w:rsidRPr="005A5ECE" w:rsidRDefault="005A5EC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A5ECE">
        <w:rPr>
          <w:rFonts w:ascii="Verdana" w:hAnsi="Verdana"/>
          <w:color w:val="000000"/>
          <w:sz w:val="20"/>
          <w:szCs w:val="20"/>
        </w:rPr>
        <w:t>Aplica para las acciones que desarrolla la Dirección de Regulación en el marco de la formulación, adopción e implementación de políticas que soporten el ejercicio de la Presidencia y Secretaria General del Comité Nacional del Codex Alimentarius. Inicia con la revisión y análisis de los proyectos de normas, directrices, códigos de prácticas y textos afines que a nivel internacional, regional o nacional se propongan y finaliza con el apoyo de la remisión de los documentos en los que consten conceptos y decisiones del Comité Nacional del Codex a las partes interesadas nacionales y/o internacionales a través del punto de contacto en Colombia (</w:t>
      </w:r>
      <w:proofErr w:type="spellStart"/>
      <w:r w:rsidRPr="005A5ECE">
        <w:rPr>
          <w:rFonts w:ascii="Verdana" w:hAnsi="Verdana"/>
          <w:color w:val="000000"/>
          <w:sz w:val="20"/>
          <w:szCs w:val="20"/>
        </w:rPr>
        <w:t>MinSalud</w:t>
      </w:r>
      <w:proofErr w:type="spellEnd"/>
      <w:r w:rsidRPr="005A5ECE">
        <w:rPr>
          <w:rFonts w:ascii="Verdana" w:hAnsi="Verdana"/>
          <w:color w:val="000000"/>
          <w:sz w:val="20"/>
          <w:szCs w:val="20"/>
        </w:rPr>
        <w:t>). </w:t>
      </w:r>
    </w:p>
    <w:p w14:paraId="2B42DE8E" w14:textId="77777777" w:rsidR="001C6CBA" w:rsidRPr="00666AB9" w:rsidRDefault="001C6CBA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3E95B7AB" w:rsidR="00E32749" w:rsidRPr="00666AB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26687A72" w14:textId="47BAE278" w:rsidR="003033FD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CE48CDC" w14:textId="17E518E4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A5ECE">
        <w:rPr>
          <w:rFonts w:ascii="Verdana" w:hAnsi="Verdana" w:cs="Arial"/>
          <w:sz w:val="20"/>
          <w:szCs w:val="20"/>
        </w:rPr>
        <w:t>CODEX ALIMENTARIUS (CÓDIGO ALIMENTARIO):</w:t>
      </w:r>
      <w:r w:rsidRPr="005A5ECE">
        <w:rPr>
          <w:rFonts w:ascii="Verdana" w:hAnsi="Verdana" w:cs="Arial"/>
          <w:color w:val="333333"/>
          <w:sz w:val="20"/>
          <w:szCs w:val="20"/>
        </w:rPr>
        <w:t xml:space="preserve"> Es un conjunto de normas, códigos de prácticas, directrices y recomendaciones alimentarias internacionales de carácter voluntario, adoptadas por la Comisión del Codex Alimentarius.</w:t>
      </w:r>
    </w:p>
    <w:p w14:paraId="56FCAE36" w14:textId="77777777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6B422BD" w14:textId="52DC2EED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A5ECE">
        <w:rPr>
          <w:rFonts w:ascii="Verdana" w:hAnsi="Verdana" w:cs="Arial"/>
          <w:sz w:val="20"/>
          <w:szCs w:val="20"/>
        </w:rPr>
        <w:t xml:space="preserve">COMITÉ NACIONAL DEL CODEX ALIMENTARIUS: </w:t>
      </w:r>
      <w:r w:rsidRPr="005A5ECE">
        <w:rPr>
          <w:rFonts w:ascii="Verdana" w:hAnsi="Verdana" w:cs="Arial"/>
          <w:color w:val="333333"/>
          <w:sz w:val="20"/>
          <w:szCs w:val="20"/>
        </w:rPr>
        <w:t>En adelante el Comité, Órgano Consultivo del Gobierno Nacional para la formulación de la política del país, en relación con los procesos de normalización y los análisis de principios y procedimientos, que se puedan adelantar en la Comisión Mixta FAO/OMS del Codex Alimentarius, su comité ejecutivo y sus órganos auxiliares.</w:t>
      </w:r>
    </w:p>
    <w:p w14:paraId="37A56D53" w14:textId="77777777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05FD9A0" w14:textId="2418B651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A5ECE">
        <w:rPr>
          <w:rFonts w:ascii="Verdana" w:hAnsi="Verdana" w:cs="Arial"/>
          <w:sz w:val="20"/>
          <w:szCs w:val="20"/>
        </w:rPr>
        <w:t xml:space="preserve">ORGANISMO COORDINADOR: </w:t>
      </w:r>
      <w:r w:rsidRPr="005A5ECE">
        <w:rPr>
          <w:rFonts w:ascii="Verdana" w:hAnsi="Verdana" w:cs="Arial"/>
          <w:color w:val="333333"/>
          <w:sz w:val="20"/>
          <w:szCs w:val="20"/>
        </w:rPr>
        <w:t>Entidad encargada de coordinar las actividades de los grupos técnicos de trabajo.</w:t>
      </w:r>
    </w:p>
    <w:p w14:paraId="582CAC1C" w14:textId="77777777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4D397F8" w14:textId="03516409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A5ECE">
        <w:rPr>
          <w:rFonts w:ascii="Verdana" w:hAnsi="Verdana" w:cs="Arial"/>
          <w:sz w:val="20"/>
          <w:szCs w:val="20"/>
        </w:rPr>
        <w:t xml:space="preserve">SECRETARÍA GENERAL: </w:t>
      </w:r>
      <w:r w:rsidRPr="005A5ECE">
        <w:rPr>
          <w:rFonts w:ascii="Verdana" w:hAnsi="Verdana" w:cs="Arial"/>
          <w:color w:val="333333"/>
          <w:sz w:val="20"/>
          <w:szCs w:val="20"/>
        </w:rPr>
        <w:t>Entidad encargada de brindar apoyo al Comité en las funciones administrativas y de enlace con la secretaría técnica.</w:t>
      </w:r>
    </w:p>
    <w:p w14:paraId="0479F138" w14:textId="77777777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527A8F1" w14:textId="61D82217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A5ECE">
        <w:rPr>
          <w:rFonts w:ascii="Verdana" w:hAnsi="Verdana" w:cs="Arial"/>
          <w:sz w:val="20"/>
          <w:szCs w:val="20"/>
        </w:rPr>
        <w:t>SECRETARÍA TÉCNICA:</w:t>
      </w:r>
      <w:r w:rsidRPr="005A5ECE">
        <w:rPr>
          <w:rFonts w:ascii="Verdana" w:hAnsi="Verdana" w:cs="Arial"/>
          <w:color w:val="333333"/>
          <w:sz w:val="20"/>
          <w:szCs w:val="20"/>
        </w:rPr>
        <w:t xml:space="preserve"> Entidad encargada de brindar apoyo a la Comisión en los aspectos especializados y documentales sobre los temas técnicos del Subsistema Nacional de la Calidad.</w:t>
      </w:r>
    </w:p>
    <w:p w14:paraId="6D88F6D8" w14:textId="77777777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78F0383" w14:textId="4F241ADA" w:rsidR="005A5ECE" w:rsidRPr="005A5ECE" w:rsidRDefault="005A5ECE" w:rsidP="005A5EC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A5ECE">
        <w:rPr>
          <w:rFonts w:ascii="Verdana" w:hAnsi="Verdana" w:cs="Arial"/>
          <w:sz w:val="20"/>
          <w:szCs w:val="20"/>
        </w:rPr>
        <w:t xml:space="preserve">SUBCOMITÉ TÉCNICOS NACIONALES: </w:t>
      </w:r>
      <w:r w:rsidRPr="005A5ECE">
        <w:rPr>
          <w:rFonts w:ascii="Verdana" w:hAnsi="Verdana" w:cs="Arial"/>
          <w:color w:val="333333"/>
          <w:sz w:val="20"/>
          <w:szCs w:val="20"/>
        </w:rPr>
        <w:t>En adelante el subcomité, Grupos de trabajo encargados de elaborar conceptos y propuestas técnicas sobre temas de su ámbito, que contribuyan a la definición de la posición de Colombia ante la Comisión Mixta FAO/OMS del Codex Alimentarius, su comité ejecutivo y demás órganos auxiliares.</w:t>
      </w:r>
    </w:p>
    <w:p w14:paraId="66FD4D5D" w14:textId="73BC3DF8" w:rsidR="00A22F3F" w:rsidRPr="005A5ECE" w:rsidRDefault="00A22F3F" w:rsidP="005A5ECE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A22F3F">
        <w:rPr>
          <w:rFonts w:ascii="Verdana" w:hAnsi="Verdana" w:cs="Arial"/>
          <w:sz w:val="20"/>
          <w:szCs w:val="20"/>
        </w:rPr>
        <w:t> </w:t>
      </w:r>
    </w:p>
    <w:p w14:paraId="60B74033" w14:textId="0EE7BB57" w:rsidR="00EA0826" w:rsidRPr="00666AB9" w:rsidRDefault="00A570F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 xml:space="preserve">GENERALIDADES </w:t>
      </w:r>
    </w:p>
    <w:p w14:paraId="564B400F" w14:textId="77777777" w:rsidR="00C71896" w:rsidRDefault="00C71896" w:rsidP="00900199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3D93C2CE" w14:textId="094F6681" w:rsidR="00900199" w:rsidRDefault="00900199" w:rsidP="006B53B4">
      <w:pPr>
        <w:pStyle w:val="Prrafodelista"/>
        <w:numPr>
          <w:ilvl w:val="1"/>
          <w:numId w:val="11"/>
        </w:numPr>
        <w:spacing w:after="0" w:line="240" w:lineRule="auto"/>
        <w:rPr>
          <w:rFonts w:ascii="Verdana" w:hAnsi="Verdana" w:cs="Arial"/>
          <w:bCs/>
          <w:sz w:val="20"/>
          <w:szCs w:val="20"/>
          <w:lang w:val="es-MX"/>
        </w:rPr>
      </w:pPr>
      <w:r w:rsidRPr="005A5ECE">
        <w:rPr>
          <w:rFonts w:ascii="Verdana" w:hAnsi="Verdana" w:cs="Arial"/>
          <w:b/>
          <w:bCs/>
          <w:sz w:val="20"/>
          <w:szCs w:val="20"/>
          <w:lang w:val="es-MX"/>
        </w:rPr>
        <w:t xml:space="preserve">NORMATIVIDAD </w:t>
      </w:r>
    </w:p>
    <w:p w14:paraId="461C0734" w14:textId="04181B54" w:rsidR="005A5ECE" w:rsidRDefault="005A5ECE" w:rsidP="005A5ECE">
      <w:pPr>
        <w:spacing w:after="0" w:line="240" w:lineRule="auto"/>
        <w:rPr>
          <w:rFonts w:ascii="Verdana" w:hAnsi="Verdana" w:cs="Arial"/>
          <w:bCs/>
          <w:sz w:val="20"/>
          <w:szCs w:val="20"/>
          <w:lang w:val="es-MX"/>
        </w:rPr>
      </w:pPr>
    </w:p>
    <w:p w14:paraId="2BDD097C" w14:textId="6A6B6CE6" w:rsidR="005A5ECE" w:rsidRPr="005A5ECE" w:rsidRDefault="005A5ECE" w:rsidP="005A5ECE">
      <w:pPr>
        <w:spacing w:after="0" w:line="240" w:lineRule="auto"/>
        <w:rPr>
          <w:rFonts w:ascii="Verdana" w:hAnsi="Verdana"/>
          <w:color w:val="000000"/>
          <w:sz w:val="20"/>
        </w:rPr>
      </w:pPr>
      <w:r w:rsidRPr="005A5ECE">
        <w:rPr>
          <w:rFonts w:ascii="Verdana" w:hAnsi="Verdana"/>
          <w:color w:val="000000"/>
          <w:sz w:val="20"/>
        </w:rPr>
        <w:t xml:space="preserve">Este procedimiento se ejecuta según lo señalado en el numeral 10 del artículo 28 del Decreto 210 del 3 de marzo de 2003, el cual dispuso que la Dirección de Regulación del Ministerio de Comercio, Industria y </w:t>
      </w:r>
      <w:r w:rsidRPr="005A5ECE">
        <w:rPr>
          <w:rFonts w:ascii="Verdana" w:hAnsi="Verdana"/>
          <w:color w:val="000000"/>
          <w:sz w:val="20"/>
        </w:rPr>
        <w:lastRenderedPageBreak/>
        <w:t>Turismo, presidirá y ejercerá la Secretaría General del Comité Nacional del Codex Alimentarius.</w:t>
      </w:r>
      <w:r w:rsidRPr="005A5ECE">
        <w:rPr>
          <w:rFonts w:ascii="Verdana" w:hAnsi="Verdana"/>
          <w:color w:val="000000"/>
          <w:sz w:val="20"/>
        </w:rPr>
        <w:br/>
      </w:r>
      <w:r w:rsidRPr="005A5ECE">
        <w:rPr>
          <w:rFonts w:ascii="Verdana" w:hAnsi="Verdana"/>
          <w:color w:val="000000"/>
          <w:sz w:val="20"/>
        </w:rPr>
        <w:br/>
        <w:t>Adicionalmente, por el Decreto 977 de 1998 mediante el cual se crea el Comité Nacional del Codex Alimentarius.</w:t>
      </w:r>
    </w:p>
    <w:p w14:paraId="363D9650" w14:textId="77777777" w:rsidR="005A5ECE" w:rsidRPr="005A5ECE" w:rsidRDefault="005A5ECE" w:rsidP="005A5ECE">
      <w:pPr>
        <w:spacing w:after="0" w:line="240" w:lineRule="auto"/>
        <w:rPr>
          <w:rFonts w:ascii="Verdana" w:hAnsi="Verdana" w:cs="Arial"/>
          <w:bCs/>
          <w:sz w:val="20"/>
          <w:szCs w:val="20"/>
          <w:lang w:val="es-MX"/>
        </w:rPr>
      </w:pPr>
    </w:p>
    <w:p w14:paraId="58536DD1" w14:textId="2CB2FEF7" w:rsidR="009E5DB2" w:rsidRDefault="009E5DB2" w:rsidP="009E5DB2">
      <w:pPr>
        <w:spacing w:after="0" w:line="24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  <w:lang w:val="es-MX"/>
        </w:rPr>
        <w:t xml:space="preserve">4.2. </w:t>
      </w:r>
      <w:r w:rsidR="00900199" w:rsidRPr="00900199">
        <w:rPr>
          <w:rFonts w:ascii="Verdana" w:hAnsi="Verdana" w:cs="Arial"/>
          <w:b/>
          <w:bCs/>
          <w:sz w:val="20"/>
          <w:szCs w:val="20"/>
          <w:lang w:val="es-MX"/>
        </w:rPr>
        <w:t>Riesgos</w:t>
      </w:r>
      <w:r w:rsidR="00900199" w:rsidRPr="00900199">
        <w:rPr>
          <w:rFonts w:ascii="Verdana" w:hAnsi="Verdana" w:cs="Arial"/>
          <w:bCs/>
          <w:sz w:val="20"/>
          <w:szCs w:val="20"/>
          <w:lang w:val="es-MX"/>
        </w:rPr>
        <w:br/>
      </w:r>
      <w:r w:rsidR="00900199" w:rsidRPr="00900199">
        <w:rPr>
          <w:rFonts w:ascii="Verdana" w:hAnsi="Verdana" w:cs="Arial"/>
          <w:bCs/>
          <w:sz w:val="20"/>
          <w:szCs w:val="20"/>
          <w:lang w:val="es-MX"/>
        </w:rPr>
        <w:br/>
      </w:r>
      <w:r>
        <w:rPr>
          <w:rFonts w:ascii="Verdana" w:hAnsi="Verdana" w:cs="Arial"/>
          <w:bCs/>
          <w:sz w:val="20"/>
          <w:szCs w:val="20"/>
        </w:rPr>
        <w:t>* Los riesgos del proceso se encuentran documentados en la matriz de riesgos institucionales.</w:t>
      </w:r>
    </w:p>
    <w:p w14:paraId="13A8C5D1" w14:textId="77777777" w:rsidR="009E5DB2" w:rsidRDefault="009E5DB2" w:rsidP="009E5DB2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* Los controles aplicables a cada riesgo se relacionan en las actividades descritas en los documentos y se identifican por medio del código del control. </w:t>
      </w:r>
    </w:p>
    <w:p w14:paraId="4DFC98C1" w14:textId="77777777" w:rsidR="00DA19DE" w:rsidRPr="0090019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MX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7E2CC12" w:rsidR="00E32749" w:rsidRDefault="2E1845F4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00792E1F" w:rsidRPr="00666AB9">
        <w:rPr>
          <w:rFonts w:ascii="Verdana" w:hAnsi="Verdana" w:cs="Arial"/>
          <w:bCs/>
          <w:sz w:val="16"/>
          <w:szCs w:val="16"/>
        </w:rPr>
        <w:t>continuación,</w:t>
      </w:r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5FB8882F" w14:textId="77777777" w:rsidR="00BB1B01" w:rsidRDefault="00BB1B01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45EAAC5F" w14:textId="6E2A62E7" w:rsidR="00BB1B01" w:rsidRDefault="00BF23F7" w:rsidP="00BF23F7">
      <w:pPr>
        <w:spacing w:after="0" w:line="240" w:lineRule="auto"/>
        <w:ind w:firstLine="708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noProof/>
          <w:sz w:val="16"/>
          <w:szCs w:val="16"/>
        </w:rPr>
        <w:drawing>
          <wp:inline distT="0" distB="0" distL="0" distR="0" wp14:anchorId="6B2136C5" wp14:editId="06F33FFE">
            <wp:extent cx="4652667" cy="5610225"/>
            <wp:effectExtent l="0" t="0" r="0" b="0"/>
            <wp:docPr id="2384129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12976" name="Imagen 23841297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825" cy="561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CDCD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4B861D95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00BB1B01" w:rsidRPr="00666AB9">
        <w:rPr>
          <w:rFonts w:ascii="Verdana" w:hAnsi="Verdana" w:cs="Arial"/>
          <w:bCs/>
          <w:sz w:val="16"/>
          <w:szCs w:val="16"/>
        </w:rPr>
        <w:t>continuación,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839"/>
        <w:gridCol w:w="2126"/>
        <w:gridCol w:w="4661"/>
        <w:gridCol w:w="1576"/>
      </w:tblGrid>
      <w:tr w:rsidR="00DA19DE" w:rsidRPr="00666AB9" w14:paraId="127FA709" w14:textId="77777777" w:rsidTr="002B4273">
        <w:trPr>
          <w:trHeight w:val="17"/>
          <w:tblHeader/>
        </w:trPr>
        <w:tc>
          <w:tcPr>
            <w:tcW w:w="56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No.</w:t>
            </w:r>
          </w:p>
        </w:tc>
        <w:tc>
          <w:tcPr>
            <w:tcW w:w="1839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6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57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DA19DE" w:rsidRPr="00117C65" w14:paraId="63F6096D" w14:textId="77777777" w:rsidTr="002B4273">
        <w:trPr>
          <w:trHeight w:val="545"/>
        </w:trPr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00B26907" w:rsidR="00DA19DE" w:rsidRPr="00117C65" w:rsidRDefault="00AD5DB2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F8BE6C" w14:textId="44E8A2F0" w:rsidR="00DA19DE" w:rsidRPr="00117C65" w:rsidRDefault="005A5ECE" w:rsidP="00117C6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(P) Revisar y analizar los proyectos de normas directrices, códigos de prácticas y textos afines que a nivel internacional, regional o nacional se propongan.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440CC4AF" w:rsidR="00DA19DE" w:rsidRPr="00117C65" w:rsidRDefault="005A5EC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 de regulación (Presidente del comité), Asesor(s), Profesional(es)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20445FF" w14:textId="7BF1362C" w:rsidR="00DA19DE" w:rsidRPr="00117C65" w:rsidRDefault="005A5ECE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Los temas del Codex Alimentarius son revisados a través de la página web del Codex Alimentarius.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http://www.fao.org/fao-who-codexalimentarius/home/es/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También se revisan los informes de los comités Internacionales y las cartas circulares remitidas por el secretario del Codex Alimentarius.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FE0442" w14:textId="0290542F" w:rsidR="00DA19DE" w:rsidRPr="00117C65" w:rsidRDefault="005A5EC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Documento Institucional o Pagina Web del Codex Alimentarius.</w:t>
            </w:r>
          </w:p>
        </w:tc>
      </w:tr>
      <w:tr w:rsidR="00DA19DE" w:rsidRPr="00117C65" w14:paraId="1607CFEA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0D4964D" w14:textId="5773F521" w:rsidR="00DA19DE" w:rsidRPr="00117C65" w:rsidRDefault="00AD5DB2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69703E8" w14:textId="7165363A" w:rsidR="00DA19DE" w:rsidRPr="00117C65" w:rsidRDefault="005A5ECE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Proponer la revisión de los proyectos de normas, directrices, códigos de prácticas y textos afines del Codex Alimentarius.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F2984B5" w14:textId="66C4566C" w:rsidR="00DA19DE" w:rsidRPr="00117C65" w:rsidRDefault="005A5ECE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Director(a) de Regulación, Asesor,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6BC621A6" w14:textId="2BBFA2DC" w:rsidR="00DA19DE" w:rsidRPr="00117C65" w:rsidRDefault="005A5ECE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 partir de la revisión de los documentos se construye la agenda a tratar durante la vigencia, asociada al cronograma acordado por la Comisión del Codex Alimentarius y sus Órganos Auxiliares.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Los documentos a revisar son enviados por los Coordinadores de los Subcomités Técnicos Nacionales mediante correo electrónico a la Secretaria Técnica del comité Nacional del Codex Alimentarius.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B05BBF1" w14:textId="6737214C" w:rsidR="00DA19DE" w:rsidRPr="00117C65" w:rsidRDefault="005A5ECE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Correo Electrónico*</w:t>
            </w:r>
          </w:p>
        </w:tc>
      </w:tr>
      <w:tr w:rsidR="00851992" w:rsidRPr="00117C65" w14:paraId="59543128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DDAE3B" w14:textId="3185BF51" w:rsidR="00851992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771F489" w14:textId="3C70F899" w:rsidR="00851992" w:rsidRPr="00117C65" w:rsidRDefault="005A5ECE" w:rsidP="00117C6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(V) Revisar los documentos relacionados con la agenda de la reunión internacional de la Comisión del Codex Alimentarius.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9BF0336" w14:textId="17020CE3" w:rsidR="00851992" w:rsidRPr="00117C65" w:rsidRDefault="005A5ECE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Director(a) de Regulación, Asesor,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146E9D37" w14:textId="77777777" w:rsidR="00851992" w:rsidRPr="00117C65" w:rsidRDefault="005A5ECE" w:rsidP="00AF2851">
            <w:p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Punto de Control del Riesgo.</w:t>
            </w:r>
          </w:p>
          <w:p w14:paraId="68220B11" w14:textId="77777777" w:rsidR="005A5ECE" w:rsidRPr="00117C65" w:rsidRDefault="005A5ECE" w:rsidP="00AF2851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  <w:p w14:paraId="0FEB077C" w14:textId="452CDB2B" w:rsidR="005A5ECE" w:rsidRPr="00117C65" w:rsidRDefault="005A5ECE" w:rsidP="00AF285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Control DE-R1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68AE3DB" w14:textId="17B4E705" w:rsidR="00851992" w:rsidRPr="00117C65" w:rsidRDefault="005A5ECE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Documento Institucional o Página Web del Codex Alimentarius.</w:t>
            </w:r>
          </w:p>
        </w:tc>
      </w:tr>
      <w:tr w:rsidR="00851992" w:rsidRPr="00117C65" w14:paraId="0302327A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F62E092" w14:textId="730944FD" w:rsidR="00851992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F4E2E06" w14:textId="375490D6" w:rsidR="00851992" w:rsidRPr="00117C65" w:rsidRDefault="005A5ECE" w:rsidP="005A3044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Coordinar el ejercicio y la gestión de la Presidencia y Secretaria General del Comité Nacional del Codex Alimentarius.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5486A7B" w14:textId="413BD076" w:rsidR="00851992" w:rsidRPr="00117C65" w:rsidRDefault="005A5ECE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Director(a) de Regulación, Asesor, Profesional Universitario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3629C368" w14:textId="0C0960A4" w:rsidR="00851992" w:rsidRPr="00117C65" w:rsidRDefault="005A5ECE" w:rsidP="00757FF1">
            <w:pPr>
              <w:spacing w:after="0" w:line="240" w:lineRule="auto"/>
              <w:ind w:left="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De acuerdo con el Decreto 977 de 1998, la Dirección de Regulación ejerce la Presidencia y Secretaría General del CNCA. En este sentido, atiende todas las peticiones o consultas relacionadas con el Codex remitidas por las diferentes entidades miembros del Comité Nacional del Codex Alimentarius.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B3A34A2" w14:textId="79649D0F" w:rsidR="00851992" w:rsidRPr="00117C65" w:rsidRDefault="005A5ECE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Oficio o Correo Electrónico*</w:t>
            </w:r>
          </w:p>
        </w:tc>
      </w:tr>
      <w:tr w:rsidR="00851992" w:rsidRPr="00117C65" w14:paraId="3D1A3EAA" w14:textId="77777777" w:rsidTr="00E01AAF">
        <w:trPr>
          <w:trHeight w:val="76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9120E2B" w14:textId="45A89173" w:rsidR="00851992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4B66787" w14:textId="1F5935C8" w:rsidR="00851992" w:rsidRPr="00117C65" w:rsidRDefault="005A5ECE" w:rsidP="00117C6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Apoyar la gestión de los Subcomités Técnicos nacionales del Codex Alimentarius (STNCA).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AE9310" w14:textId="15BB094A" w:rsidR="00851992" w:rsidRPr="00117C65" w:rsidRDefault="005A5ECE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Asesor, Profesional Universitario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684CB1AA" w14:textId="54C0DFF3" w:rsidR="00851992" w:rsidRPr="00117C65" w:rsidRDefault="005A5ECE" w:rsidP="00A76CDB">
            <w:pPr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Brindar asesoría a los Subcomités mediante correo electrónico y canal telefónico con el fin de aclarar dudas e inquietudes para el buen funcionamiento del Subcomité y la elaboración de las posiciones de país sobre los documento en estudio.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148B37A" w14:textId="63BF12B8" w:rsidR="00851992" w:rsidRPr="00117C65" w:rsidRDefault="005A5ECE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Oficio o Correo Electrónico*</w:t>
            </w:r>
          </w:p>
        </w:tc>
      </w:tr>
      <w:tr w:rsidR="00851992" w:rsidRPr="00117C65" w14:paraId="30D6DC68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F11E41F" w14:textId="6EE0C636" w:rsidR="00851992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C6932E1" w14:textId="0144B877" w:rsidR="00851992" w:rsidRPr="00117C65" w:rsidRDefault="005A5ECE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Participar de acuerdo a la pertinencia en las reuniones de los STNCA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AD1D5BA" w14:textId="55AF53F7" w:rsidR="00851992" w:rsidRPr="00117C65" w:rsidRDefault="005A5ECE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Director(a) de Regulación, Asesor,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6F01214D" w14:textId="4CD1C063" w:rsidR="00851992" w:rsidRPr="00117C65" w:rsidRDefault="005A5ECE" w:rsidP="00AD5DB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La Dirección de Regulación realiza un acompañamiento en las diferentes reuniones de los STCNA que se consideren pertinentes, brindando soporte sobre los procedimientos y asuntos relacionados con el funcionamiento del Codex Alimentarius.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96773EC" w14:textId="68178BA1" w:rsidR="00851992" w:rsidRPr="00117C65" w:rsidRDefault="00117C6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No aplica.</w:t>
            </w:r>
          </w:p>
        </w:tc>
      </w:tr>
      <w:tr w:rsidR="00E93440" w:rsidRPr="00117C65" w14:paraId="0BF65009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12D96C6" w14:textId="4020F2DD" w:rsidR="00E93440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CFE009F" w14:textId="6C567859" w:rsidR="00E93440" w:rsidRPr="00117C65" w:rsidRDefault="00117C65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Realizar la convocatoria y remitir los documentos pertinentes para la reunión del Comité Nacional del Codex Alimentarius.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76AB3AB" w14:textId="042B53FB" w:rsidR="00E93440" w:rsidRPr="00117C65" w:rsidRDefault="00117C65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Asesor,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037B9425" w14:textId="29F870B2" w:rsidR="00585793" w:rsidRPr="00117C65" w:rsidRDefault="00117C65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La reunión puede ser ordinaria o extraordinaria y en ella se estudian los temas y se toman las decisiones respectivas. La citación a los miembros del Comité Nacional del Codex Alimentarius se hará mediante correo electrónico.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Los documentos son circulados por la Secretaría Técnica del Comité Nacional del Codex Alimentarius a los miembros de dicho Comité.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6EF0DEF" w14:textId="6D7B9C95" w:rsidR="00E93440" w:rsidRPr="00117C65" w:rsidRDefault="00117C6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Correo Electrónico*</w:t>
            </w:r>
          </w:p>
        </w:tc>
      </w:tr>
      <w:tr w:rsidR="00E93440" w:rsidRPr="00117C65" w14:paraId="79B91E95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1DD12B8" w14:textId="4B11DBD4" w:rsidR="00E93440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923CF7E" w14:textId="3C57069D" w:rsidR="00E93440" w:rsidRPr="00117C65" w:rsidRDefault="00117C65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Celebrar la reunión del Comité Nacional del Codex Alimentarius.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DDC0CE3" w14:textId="27F4BF48" w:rsidR="00E93440" w:rsidRPr="00117C65" w:rsidRDefault="00117C65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Director(a) de Regulación, Asesor, Profesional Universitario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1DE71A76" w14:textId="482DD460" w:rsidR="00E93440" w:rsidRPr="00117C65" w:rsidRDefault="00117C65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En la reunión se deben analizar y verificar los temas planteados con el objeto de tomar las decisiones respectivas, las cuales quedarán consignadas en el acta de la sesión.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117C6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Nota: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Los temas que no fueron aprobados por el Comité Nacional del Codex Alimentarius se devuelven al Subcomité responsable y si este lo considera, se le dará tratamiento en una sesión posterior del Comité Nacional del Codex Alimentarius.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(Regresar a la actividad No.6).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Si los documentos son aprobados continua con la actividad No.11.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5EEEAF9" w14:textId="1DCAA7A0" w:rsidR="00E93440" w:rsidRPr="00117C65" w:rsidRDefault="00117C6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Registro de Asistencia</w:t>
            </w:r>
            <w:r w:rsidR="003A5FA7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(GD-FM-004)</w:t>
            </w:r>
          </w:p>
        </w:tc>
      </w:tr>
      <w:tr w:rsidR="00E93440" w:rsidRPr="00117C65" w14:paraId="2A74F4C3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89A71A6" w14:textId="072B422A" w:rsidR="00E93440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806DD40" w14:textId="25DD9DAE" w:rsidR="00E93440" w:rsidRPr="00117C65" w:rsidRDefault="00117C65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Elaborar el acta de la reunión del Comité, circularla y someterla a consideración y aprobación de los miembros.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A62A1F5" w14:textId="0A348830" w:rsidR="00E93440" w:rsidRPr="00117C65" w:rsidRDefault="00117C65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Asesor(s),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34EC3FAC" w14:textId="5BD33516" w:rsidR="00E93440" w:rsidRPr="00117C65" w:rsidRDefault="00117C65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Se elabora el proyecto de acta con las deliberaciones y conclusiones en cada uno de los temas abordados y posteriormente mediante correo electrónico se circula a los miembros del Comité Nacional del Codex Alimentarius para recibir observaciones.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6537323" w14:textId="6613183D" w:rsidR="00E93440" w:rsidRPr="00117C65" w:rsidRDefault="00117C6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Acta</w:t>
            </w:r>
            <w:r w:rsidR="003A5FA7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(GD-FM-001)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y Correo Electrónico*</w:t>
            </w:r>
          </w:p>
        </w:tc>
      </w:tr>
      <w:tr w:rsidR="00E93440" w:rsidRPr="00117C65" w14:paraId="438115B0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507C3F7" w14:textId="11855532" w:rsidR="00E93440" w:rsidRPr="00117C65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5F5A788" w14:textId="63CF99AB" w:rsidR="00E93440" w:rsidRPr="00117C65" w:rsidRDefault="00117C65" w:rsidP="00C33928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(V) Analizar y verificar los resultados de los temas planteados.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C28ED37" w14:textId="07B11785" w:rsidR="00E93440" w:rsidRPr="00117C65" w:rsidRDefault="00117C65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Director(a) de Regulación, Asesor,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6F728EFD" w14:textId="77777777" w:rsidR="00E93440" w:rsidRPr="00117C65" w:rsidRDefault="00117C65" w:rsidP="003033F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Punto de Control del Riesgo.</w:t>
            </w:r>
          </w:p>
          <w:p w14:paraId="69212487" w14:textId="03E8B5C7" w:rsidR="00117C65" w:rsidRPr="00117C65" w:rsidRDefault="00117C65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Control DE-R1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7834F2C" w14:textId="7E9B89DD" w:rsidR="00E93440" w:rsidRPr="00117C65" w:rsidRDefault="00117C6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Actas</w:t>
            </w:r>
            <w:r w:rsidR="003A5FA7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(GD-FM-001)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, Registros de Asistencia</w:t>
            </w:r>
            <w:r w:rsidR="003A5FA7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(GD-FM-004)</w:t>
            </w: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, Correo Electrónico*</w:t>
            </w:r>
          </w:p>
        </w:tc>
      </w:tr>
      <w:tr w:rsidR="00C77DA4" w:rsidRPr="00117C65" w14:paraId="59279DBD" w14:textId="77777777" w:rsidTr="00E01AAF">
        <w:trPr>
          <w:trHeight w:val="501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7AC68B4" w14:textId="7C1E0D70" w:rsidR="00C77DA4" w:rsidRPr="00117C65" w:rsidRDefault="00C77DA4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t>11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C3991DD" w14:textId="545E564A" w:rsidR="00C77DA4" w:rsidRPr="00117C65" w:rsidRDefault="00117C65" w:rsidP="00117C65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(H) Apoyar la remisión de los documentos en los que consten conceptos y decisiones del Comité Nacional del Codex a las partes interesadas nacionales y/o internacionales.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79DA845" w14:textId="243BA864" w:rsidR="00C77DA4" w:rsidRPr="00117C65" w:rsidRDefault="00117C65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Asesor,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564D48DD" w14:textId="6CC1D147" w:rsidR="00C77DA4" w:rsidRPr="00117C65" w:rsidRDefault="00117C65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La remisión de documentos se hace a través del Punto de Contacto de Colombia ante el Codex Alimentarius, a cargo del (Ministerio de Salud y de la Protección Social).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DF13267" w14:textId="47634498" w:rsidR="00C77DA4" w:rsidRPr="00117C65" w:rsidRDefault="00117C6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Correo Electrónico*</w:t>
            </w:r>
          </w:p>
        </w:tc>
      </w:tr>
      <w:tr w:rsidR="00C77DA4" w:rsidRPr="00117C65" w14:paraId="5E8EAD9C" w14:textId="77777777" w:rsidTr="002B4273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E827C8F" w14:textId="36FE9848" w:rsidR="00C77DA4" w:rsidRPr="00117C65" w:rsidRDefault="00C77DA4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17C65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EF13179" w14:textId="7307175C" w:rsidR="00C77DA4" w:rsidRPr="00117C65" w:rsidRDefault="00117C65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(A) Establecer las acciones necesarias para el mejoramiento continuo del proceso.</w:t>
            </w:r>
          </w:p>
        </w:tc>
        <w:tc>
          <w:tcPr>
            <w:tcW w:w="212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603B949" w14:textId="6EBA38E6" w:rsidR="00C77DA4" w:rsidRPr="00117C65" w:rsidRDefault="00117C65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Director(a) de Regulación, Asesor, Profesional(es)</w:t>
            </w:r>
          </w:p>
        </w:tc>
        <w:tc>
          <w:tcPr>
            <w:tcW w:w="4661" w:type="dxa"/>
            <w:tcMar>
              <w:top w:w="57" w:type="dxa"/>
              <w:left w:w="113" w:type="dxa"/>
              <w:bottom w:w="57" w:type="dxa"/>
            </w:tcMar>
          </w:tcPr>
          <w:p w14:paraId="67E8068D" w14:textId="26540811" w:rsidR="00C77DA4" w:rsidRPr="00117C65" w:rsidRDefault="00117C65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Las acciones de mejora se realizan de acuerdo con los lineamientos establecidos en el procedimiento "Gestión de no conformidades, observaciones y notas de mejora.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B5031AE" w14:textId="68B8CFA8" w:rsidR="00C77DA4" w:rsidRPr="00117C65" w:rsidRDefault="00117C6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17C65">
              <w:rPr>
                <w:rFonts w:ascii="Verdana" w:hAnsi="Verdana" w:cs="Arial"/>
                <w:color w:val="000000"/>
                <w:sz w:val="16"/>
                <w:szCs w:val="16"/>
              </w:rPr>
              <w:t>Acciones de mejoramiento*</w:t>
            </w:r>
          </w:p>
        </w:tc>
      </w:tr>
    </w:tbl>
    <w:p w14:paraId="46DDA34D" w14:textId="264AB2B7" w:rsidR="00BA58FB" w:rsidRPr="00666AB9" w:rsidRDefault="00BA58FB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00666AB9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00527BE4" w:rsidRPr="00666AB9" w14:paraId="51B79C92" w14:textId="77777777" w:rsidTr="000B56BE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048E7" w14:textId="3B103386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9A65A" w14:textId="08BDC46D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255B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F9BC5" w14:textId="2A5B4CB0" w:rsidR="00527BE4" w:rsidRPr="00E031E5" w:rsidRDefault="00527BE4" w:rsidP="00527BE4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17C65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Oficios</w:t>
            </w:r>
          </w:p>
        </w:tc>
      </w:tr>
      <w:tr w:rsidR="00527BE4" w:rsidRPr="00666AB9" w14:paraId="4E7D6172" w14:textId="77777777" w:rsidTr="000B56BE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1A4A04" w14:textId="77955EBD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965165" w14:textId="732535CD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255B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D76A5" w14:textId="45B4C9EE" w:rsidR="00527BE4" w:rsidRPr="00E031E5" w:rsidRDefault="00527BE4" w:rsidP="00527BE4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Correo Electrónico</w:t>
            </w:r>
          </w:p>
        </w:tc>
      </w:tr>
      <w:tr w:rsidR="00527BE4" w:rsidRPr="00666AB9" w14:paraId="4E201818" w14:textId="77777777" w:rsidTr="000B56BE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A363D" w14:textId="3860684E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F7FC1" w14:textId="758E001E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255B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4CE6D" w14:textId="1FEC22D7" w:rsidR="00527BE4" w:rsidRPr="00E031E5" w:rsidRDefault="00527BE4" w:rsidP="00527BE4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17C65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Informe</w:t>
            </w:r>
          </w:p>
        </w:tc>
      </w:tr>
      <w:tr w:rsidR="001D0B5F" w:rsidRPr="00666AB9" w14:paraId="022C69D5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D55A8" w14:textId="658E44B0" w:rsidR="001D0B5F" w:rsidRPr="00666AB9" w:rsidRDefault="001D0B5F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9C0492" w14:textId="5F8D2D50" w:rsidR="001D0B5F" w:rsidRPr="00666AB9" w:rsidRDefault="00527BE4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GD-FM-002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68164E" w14:textId="1B15F671" w:rsidR="001D0B5F" w:rsidRPr="00E031E5" w:rsidRDefault="00117C65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17C65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Ayuda de Memoria</w:t>
            </w:r>
          </w:p>
        </w:tc>
      </w:tr>
      <w:tr w:rsidR="001D0B5F" w:rsidRPr="00666AB9" w14:paraId="1C9C87F8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0B3BB" w14:textId="1DEDF14D" w:rsidR="001D0B5F" w:rsidRPr="00666AB9" w:rsidRDefault="001D0B5F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9C0929" w14:textId="6D74074E" w:rsidR="001D0B5F" w:rsidRPr="00666AB9" w:rsidRDefault="00527BE4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GD-FM-004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87064" w14:textId="6A01F943" w:rsidR="001D0B5F" w:rsidRPr="00E031E5" w:rsidRDefault="00117C65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17C65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Registro de Asistencia</w:t>
            </w:r>
          </w:p>
        </w:tc>
      </w:tr>
      <w:tr w:rsidR="001D0B5F" w:rsidRPr="00666AB9" w14:paraId="3A750AA8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6A6AE4" w14:textId="4C4ED6E3" w:rsidR="001D0B5F" w:rsidRPr="00666AB9" w:rsidRDefault="001D0B5F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937A14" w14:textId="790E682E" w:rsidR="001D0B5F" w:rsidRPr="00666AB9" w:rsidRDefault="003A5FA7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GD-FM-00</w:t>
            </w:r>
            <w:r w:rsidR="00527BE4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BF3585" w14:textId="6DB079AC" w:rsidR="001D0B5F" w:rsidRPr="00E031E5" w:rsidRDefault="00117C65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17C65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Acta</w:t>
            </w:r>
          </w:p>
        </w:tc>
      </w:tr>
      <w:tr w:rsidR="001D0B5F" w:rsidRPr="00666AB9" w14:paraId="40428293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6207CF" w14:textId="079699FC" w:rsidR="001D0B5F" w:rsidRPr="00666AB9" w:rsidRDefault="001D0B5F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27BDF" w14:textId="6E288B82" w:rsidR="001D0B5F" w:rsidRPr="00527BE4" w:rsidRDefault="00527BE4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527B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E6F49A" w14:textId="54A5CDF0" w:rsidR="001D0B5F" w:rsidRPr="00E031E5" w:rsidRDefault="00527BE4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527B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Página</w:t>
            </w:r>
            <w:r w:rsidR="00117C65" w:rsidRPr="00527B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 xml:space="preserve"> Web del Codex Alimentarius</w:t>
            </w:r>
          </w:p>
        </w:tc>
      </w:tr>
      <w:tr w:rsidR="00527BE4" w:rsidRPr="00666AB9" w14:paraId="680A57EE" w14:textId="77777777" w:rsidTr="002F290B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178BB" w14:textId="379E1205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417E38" w14:textId="4B8402B6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B424F6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93ED7C" w14:textId="0D56315E" w:rsidR="00527BE4" w:rsidRPr="00E031E5" w:rsidRDefault="00527BE4" w:rsidP="00527BE4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527B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Documento Institucional</w:t>
            </w:r>
          </w:p>
        </w:tc>
      </w:tr>
      <w:tr w:rsidR="00527BE4" w:rsidRPr="00666AB9" w14:paraId="4A8BBA15" w14:textId="77777777" w:rsidTr="002F290B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298E" w14:textId="46260981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32585" w14:textId="2268D8FC" w:rsidR="00527BE4" w:rsidRPr="00666AB9" w:rsidRDefault="00527BE4" w:rsidP="00527BE4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B424F6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33F9A" w14:textId="46083E15" w:rsidR="00527BE4" w:rsidRPr="00E031E5" w:rsidRDefault="00527BE4" w:rsidP="00527BE4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527BE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Documentos Soporte</w:t>
            </w:r>
          </w:p>
        </w:tc>
      </w:tr>
    </w:tbl>
    <w:p w14:paraId="2D62CA79" w14:textId="77777777" w:rsidR="003033FD" w:rsidRPr="00666AB9" w:rsidRDefault="003033FD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00666AB9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00666AB9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10E0B819" w:rsidR="00EA0826" w:rsidRPr="00666AB9" w:rsidRDefault="00E01AAF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AF94949" w14:textId="77777777" w:rsidR="00EA0826" w:rsidRDefault="006F3D2D" w:rsidP="00E714D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Primera versión del documento para el nuevo mapa de procesos.</w:t>
            </w:r>
          </w:p>
          <w:p w14:paraId="599BA129" w14:textId="6359ED7A" w:rsidR="006F3D2D" w:rsidRDefault="006F3D2D" w:rsidP="00E714D6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="00E857F3" w:rsidRPr="00E857F3"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DM-PR-008</w:t>
            </w:r>
            <w:r w:rsidR="00EF1761"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 xml:space="preserve"> V6</w:t>
            </w:r>
          </w:p>
          <w:p w14:paraId="2538D14C" w14:textId="77777777" w:rsidR="00527BE4" w:rsidRDefault="00527BE4" w:rsidP="00E714D6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5A7325DC" w14:textId="77777777" w:rsidR="00E01AAF" w:rsidRDefault="00E01AAF" w:rsidP="00E714D6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0E805173" w14:textId="77777777" w:rsidR="00E01AAF" w:rsidRDefault="00E01AAF" w:rsidP="00E01AAF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E01AAF" w:rsidRPr="00E714D6" w14:paraId="03FD493B" w14:textId="77777777" w:rsidTr="00FB4FAF">
              <w:tc>
                <w:tcPr>
                  <w:tcW w:w="3995" w:type="dxa"/>
                </w:tcPr>
                <w:p w14:paraId="6BC16B29" w14:textId="77777777" w:rsidR="00E01AAF" w:rsidRPr="00E714D6" w:rsidRDefault="00E01AAF" w:rsidP="00E01AAF">
                  <w:pPr>
                    <w:jc w:val="center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7639018C" w14:textId="77777777" w:rsidR="00E01AAF" w:rsidRPr="00E714D6" w:rsidRDefault="00E01AAF" w:rsidP="00E01AAF">
                  <w:pPr>
                    <w:jc w:val="center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APROBÓ</w:t>
                  </w:r>
                </w:p>
              </w:tc>
            </w:tr>
            <w:tr w:rsidR="00E01AAF" w:rsidRPr="00E714D6" w14:paraId="0DFB53B7" w14:textId="77777777" w:rsidTr="00FB4FAF">
              <w:tc>
                <w:tcPr>
                  <w:tcW w:w="3995" w:type="dxa"/>
                </w:tcPr>
                <w:p w14:paraId="6647A8DB" w14:textId="77777777" w:rsidR="00057386" w:rsidRPr="00E714D6" w:rsidRDefault="00057386" w:rsidP="00E01AAF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MARIA LEONISA ORTIZ BOLIVAR</w:t>
                  </w:r>
                </w:p>
                <w:p w14:paraId="0199E795" w14:textId="52AF8F97" w:rsidR="00E01AAF" w:rsidRPr="00E714D6" w:rsidRDefault="00E01AAF" w:rsidP="00E01AAF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 xml:space="preserve">Cargo: </w:t>
                  </w:r>
                  <w:r w:rsidR="00057386"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Director de Regulación</w:t>
                  </w:r>
                </w:p>
                <w:p w14:paraId="619CD4C2" w14:textId="77777777" w:rsidR="00057386" w:rsidRPr="00E714D6" w:rsidRDefault="00057386" w:rsidP="00E01AAF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</w:p>
                <w:p w14:paraId="22D4B490" w14:textId="77777777" w:rsidR="00057386" w:rsidRPr="00E714D6" w:rsidRDefault="00E714D6" w:rsidP="00E01AAF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ALEJANDRO TORRES PERICO</w:t>
                  </w:r>
                </w:p>
                <w:p w14:paraId="3B3F7AF5" w14:textId="548CC5A3" w:rsidR="00E714D6" w:rsidRPr="00E714D6" w:rsidRDefault="00E714D6" w:rsidP="00E01AAF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Cargo: Jefe Oficina Asesora de Planeación Sectorial</w:t>
                  </w:r>
                </w:p>
              </w:tc>
              <w:tc>
                <w:tcPr>
                  <w:tcW w:w="3995" w:type="dxa"/>
                </w:tcPr>
                <w:p w14:paraId="59E6F1BE" w14:textId="77777777" w:rsidR="00057386" w:rsidRPr="00E714D6" w:rsidRDefault="00057386" w:rsidP="00E01AAF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MARIA LEONISA ORTIZ BOLIVAR</w:t>
                  </w:r>
                </w:p>
                <w:p w14:paraId="3D7D60E7" w14:textId="220AB978" w:rsidR="00E01AAF" w:rsidRPr="00E714D6" w:rsidRDefault="00E01AAF" w:rsidP="00E01AAF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Cargo:</w:t>
                  </w:r>
                  <w:r w:rsidRPr="00E714D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057386" w:rsidRPr="00E714D6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Director de Regulación</w:t>
                  </w:r>
                </w:p>
              </w:tc>
            </w:tr>
          </w:tbl>
          <w:p w14:paraId="7DC74621" w14:textId="77777777" w:rsidR="00E01AAF" w:rsidRDefault="00E01AAF" w:rsidP="00E01AAF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4CF8C849" w14:textId="4609969F" w:rsidR="00527BE4" w:rsidRPr="00666AB9" w:rsidRDefault="00E01AAF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Desde la OAPS se asegura que el contenido corresponde a la última versión vigente en ISOlución al momento de la migración a MIOsoft.</w:t>
            </w:r>
          </w:p>
        </w:tc>
      </w:tr>
      <w:tr w:rsidR="00EA0826" w:rsidRPr="00666AB9" w14:paraId="11E613B7" w14:textId="77777777" w:rsidTr="00666AB9">
        <w:trPr>
          <w:trHeight w:val="21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1E2AABC" w14:textId="53050E81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FBCB33B" w14:textId="377307F5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534BC78" w14:textId="2BAA184D" w:rsidR="00EA0826" w:rsidRPr="00666AB9" w:rsidRDefault="00EA0826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28F1053" w14:textId="77777777" w:rsidR="00EA0826" w:rsidRPr="00666AB9" w:rsidRDefault="00EA082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ABD5054" w14:textId="5935DCA9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009A0A14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009A0A14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6D340F28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3B4B428A" w:rsidR="172D2D76" w:rsidRPr="00666AB9" w:rsidRDefault="007F76CE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Andres</w:t>
            </w:r>
            <w:r w:rsidR="006B12B9">
              <w:rPr>
                <w:rFonts w:ascii="Verdana" w:hAnsi="Verdana"/>
                <w:sz w:val="16"/>
                <w:szCs w:val="16"/>
              </w:rPr>
              <w:t xml:space="preserve"> Torres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06E2D2B1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5779FB16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172D2D76" w:rsidRPr="00666AB9" w14:paraId="651212ED" w14:textId="77777777" w:rsidTr="009A0A14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780F07F3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6F05431D" w:rsidR="172D2D76" w:rsidRPr="00666AB9" w:rsidRDefault="006B12B9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Contratista OAPS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13953F4F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6D03CD1E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3"/>
      <w:footerReference w:type="default" r:id="rId14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87A1" w14:textId="77777777" w:rsidR="00AF4CD4" w:rsidRDefault="00AF4CD4" w:rsidP="00FF09A0">
      <w:pPr>
        <w:spacing w:after="0" w:line="240" w:lineRule="auto"/>
      </w:pPr>
      <w:r>
        <w:separator/>
      </w:r>
    </w:p>
  </w:endnote>
  <w:endnote w:type="continuationSeparator" w:id="0">
    <w:p w14:paraId="0DF1758C" w14:textId="77777777" w:rsidR="00AF4CD4" w:rsidRDefault="00AF4CD4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4B11" w14:textId="77777777" w:rsidR="00AF4CD4" w:rsidRDefault="00AF4CD4" w:rsidP="00FF09A0">
      <w:pPr>
        <w:spacing w:after="0" w:line="240" w:lineRule="auto"/>
      </w:pPr>
      <w:r>
        <w:separator/>
      </w:r>
    </w:p>
  </w:footnote>
  <w:footnote w:type="continuationSeparator" w:id="0">
    <w:p w14:paraId="01C20D46" w14:textId="77777777" w:rsidR="00AF4CD4" w:rsidRDefault="00AF4CD4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618C038B" w:rsidRPr="00666AB9" w14:paraId="1DEB2300" w14:textId="77777777" w:rsidTr="00666AB9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2F72A1CF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908050" cy="55499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545E6AE4" w:rsidR="618C038B" w:rsidRPr="00666AB9" w:rsidRDefault="618C038B" w:rsidP="00666AB9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F51B42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AE642D" w:rsidRPr="00AE642D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Fomento al desarrollo económico sostenible y a la oferta de valor de bienes y servicios</w:t>
          </w:r>
        </w:p>
      </w:tc>
    </w:tr>
    <w:tr w:rsidR="618C038B" w:rsidRPr="00666AB9" w14:paraId="2E987635" w14:textId="77777777" w:rsidTr="00666AB9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7B109218" w:rsidR="4F8B75BB" w:rsidRPr="00666AB9" w:rsidRDefault="00E857F3" w:rsidP="00F51B42">
          <w:pPr>
            <w:spacing w:after="0" w:line="240" w:lineRule="auto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COMITÉ NACIONAL DEL CODEX ALIMENTARIUS.</w:t>
          </w:r>
        </w:p>
      </w:tc>
    </w:tr>
    <w:tr w:rsidR="00666AB9" w:rsidRPr="00666AB9" w14:paraId="3D9C8ACF" w14:textId="77777777" w:rsidTr="00666AB9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3A91F66" w14:textId="05AB62B9" w:rsidR="618C038B" w:rsidRPr="00666AB9" w:rsidRDefault="000C2CEB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DO</w:t>
          </w:r>
          <w:r w:rsidR="00F51B42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-PR-</w:t>
          </w:r>
          <w:r w:rsidR="00077D17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006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10C2A75A" w14:textId="736D99BF" w:rsidR="618C038B" w:rsidRPr="00666AB9" w:rsidRDefault="00F51B42" w:rsidP="00EA7423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7C8DA198" w14:textId="32352E90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6A5FA14B" w:rsidR="618C038B" w:rsidRPr="00666AB9" w:rsidRDefault="00077D17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  <w:r w:rsidR="618C038B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72057"/>
    <w:multiLevelType w:val="hybridMultilevel"/>
    <w:tmpl w:val="A09AA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20FC"/>
    <w:multiLevelType w:val="multilevel"/>
    <w:tmpl w:val="537E86F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9477DC5"/>
    <w:multiLevelType w:val="hybridMultilevel"/>
    <w:tmpl w:val="A7A023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19168">
    <w:abstractNumId w:val="13"/>
  </w:num>
  <w:num w:numId="2" w16cid:durableId="578518141">
    <w:abstractNumId w:val="4"/>
  </w:num>
  <w:num w:numId="3" w16cid:durableId="1831674114">
    <w:abstractNumId w:val="1"/>
  </w:num>
  <w:num w:numId="4" w16cid:durableId="4794536">
    <w:abstractNumId w:val="8"/>
  </w:num>
  <w:num w:numId="5" w16cid:durableId="261187785">
    <w:abstractNumId w:val="12"/>
  </w:num>
  <w:num w:numId="6" w16cid:durableId="993417099">
    <w:abstractNumId w:val="2"/>
  </w:num>
  <w:num w:numId="7" w16cid:durableId="1802141493">
    <w:abstractNumId w:val="0"/>
  </w:num>
  <w:num w:numId="8" w16cid:durableId="1754861367">
    <w:abstractNumId w:val="3"/>
  </w:num>
  <w:num w:numId="9" w16cid:durableId="227764882">
    <w:abstractNumId w:val="9"/>
  </w:num>
  <w:num w:numId="10" w16cid:durableId="330835240">
    <w:abstractNumId w:val="5"/>
  </w:num>
  <w:num w:numId="11" w16cid:durableId="557059486">
    <w:abstractNumId w:val="10"/>
  </w:num>
  <w:num w:numId="12" w16cid:durableId="1930382354">
    <w:abstractNumId w:val="7"/>
  </w:num>
  <w:num w:numId="13" w16cid:durableId="1820152284">
    <w:abstractNumId w:val="6"/>
  </w:num>
  <w:num w:numId="14" w16cid:durableId="76114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03A3B"/>
    <w:rsid w:val="00057386"/>
    <w:rsid w:val="00077D17"/>
    <w:rsid w:val="00084489"/>
    <w:rsid w:val="000A2345"/>
    <w:rsid w:val="000A6C04"/>
    <w:rsid w:val="000B4925"/>
    <w:rsid w:val="000B497A"/>
    <w:rsid w:val="000C2CEB"/>
    <w:rsid w:val="000E5FFE"/>
    <w:rsid w:val="000F1080"/>
    <w:rsid w:val="00111E13"/>
    <w:rsid w:val="00117C65"/>
    <w:rsid w:val="00136A11"/>
    <w:rsid w:val="00145F13"/>
    <w:rsid w:val="001C5FBA"/>
    <w:rsid w:val="001C6CBA"/>
    <w:rsid w:val="001D0B5F"/>
    <w:rsid w:val="001E7211"/>
    <w:rsid w:val="0020121F"/>
    <w:rsid w:val="00223AA5"/>
    <w:rsid w:val="00237C40"/>
    <w:rsid w:val="0024300F"/>
    <w:rsid w:val="0024690F"/>
    <w:rsid w:val="002609A3"/>
    <w:rsid w:val="0026414F"/>
    <w:rsid w:val="00274A63"/>
    <w:rsid w:val="0029132E"/>
    <w:rsid w:val="00291CA0"/>
    <w:rsid w:val="002931C7"/>
    <w:rsid w:val="00293CEB"/>
    <w:rsid w:val="00295947"/>
    <w:rsid w:val="002A0289"/>
    <w:rsid w:val="002A45E3"/>
    <w:rsid w:val="002B4273"/>
    <w:rsid w:val="002C2E93"/>
    <w:rsid w:val="002C3BD4"/>
    <w:rsid w:val="002E6474"/>
    <w:rsid w:val="002F0F53"/>
    <w:rsid w:val="002F176B"/>
    <w:rsid w:val="002F5FEB"/>
    <w:rsid w:val="00300460"/>
    <w:rsid w:val="00301C99"/>
    <w:rsid w:val="003033FD"/>
    <w:rsid w:val="00313C84"/>
    <w:rsid w:val="003545C9"/>
    <w:rsid w:val="003644BD"/>
    <w:rsid w:val="003823B7"/>
    <w:rsid w:val="003A5FA7"/>
    <w:rsid w:val="003B7177"/>
    <w:rsid w:val="00400C58"/>
    <w:rsid w:val="00403988"/>
    <w:rsid w:val="0040542A"/>
    <w:rsid w:val="00416D2C"/>
    <w:rsid w:val="004529E2"/>
    <w:rsid w:val="00454302"/>
    <w:rsid w:val="004A258A"/>
    <w:rsid w:val="004A3BE9"/>
    <w:rsid w:val="004B7F25"/>
    <w:rsid w:val="004E73E5"/>
    <w:rsid w:val="004F2A29"/>
    <w:rsid w:val="004F799A"/>
    <w:rsid w:val="005034CA"/>
    <w:rsid w:val="00527566"/>
    <w:rsid w:val="00527BE4"/>
    <w:rsid w:val="00535FDD"/>
    <w:rsid w:val="00570D5D"/>
    <w:rsid w:val="00573D13"/>
    <w:rsid w:val="00582DC6"/>
    <w:rsid w:val="005832CD"/>
    <w:rsid w:val="00584585"/>
    <w:rsid w:val="00585793"/>
    <w:rsid w:val="00591941"/>
    <w:rsid w:val="005A0CE9"/>
    <w:rsid w:val="005A3044"/>
    <w:rsid w:val="005A5ECE"/>
    <w:rsid w:val="005A6B66"/>
    <w:rsid w:val="005A7D0E"/>
    <w:rsid w:val="005B5CEB"/>
    <w:rsid w:val="005B6577"/>
    <w:rsid w:val="005D2594"/>
    <w:rsid w:val="005E25C7"/>
    <w:rsid w:val="005F3247"/>
    <w:rsid w:val="00601069"/>
    <w:rsid w:val="00607318"/>
    <w:rsid w:val="006165B0"/>
    <w:rsid w:val="006169FD"/>
    <w:rsid w:val="006279DE"/>
    <w:rsid w:val="006456A3"/>
    <w:rsid w:val="0066027D"/>
    <w:rsid w:val="00666AB9"/>
    <w:rsid w:val="00684262"/>
    <w:rsid w:val="0069702B"/>
    <w:rsid w:val="006B12B9"/>
    <w:rsid w:val="006B1F16"/>
    <w:rsid w:val="006C52F0"/>
    <w:rsid w:val="006D1AB7"/>
    <w:rsid w:val="006E1279"/>
    <w:rsid w:val="006F0A35"/>
    <w:rsid w:val="006F3D2D"/>
    <w:rsid w:val="007124C9"/>
    <w:rsid w:val="00713034"/>
    <w:rsid w:val="0072655E"/>
    <w:rsid w:val="007341F5"/>
    <w:rsid w:val="00747263"/>
    <w:rsid w:val="007558EC"/>
    <w:rsid w:val="00757FF1"/>
    <w:rsid w:val="007670FA"/>
    <w:rsid w:val="007758F6"/>
    <w:rsid w:val="00792E1F"/>
    <w:rsid w:val="0079534A"/>
    <w:rsid w:val="0079608A"/>
    <w:rsid w:val="007B4E62"/>
    <w:rsid w:val="007C3D27"/>
    <w:rsid w:val="007C4B85"/>
    <w:rsid w:val="007D3138"/>
    <w:rsid w:val="007D51BE"/>
    <w:rsid w:val="007F76CE"/>
    <w:rsid w:val="008034D9"/>
    <w:rsid w:val="00804F85"/>
    <w:rsid w:val="00823BA1"/>
    <w:rsid w:val="00851992"/>
    <w:rsid w:val="00853A22"/>
    <w:rsid w:val="0087001D"/>
    <w:rsid w:val="00874AE0"/>
    <w:rsid w:val="00886EC1"/>
    <w:rsid w:val="00895E24"/>
    <w:rsid w:val="008974F0"/>
    <w:rsid w:val="008B0C34"/>
    <w:rsid w:val="008D6D1B"/>
    <w:rsid w:val="008F0A6E"/>
    <w:rsid w:val="00900199"/>
    <w:rsid w:val="0091085B"/>
    <w:rsid w:val="00925745"/>
    <w:rsid w:val="0093090C"/>
    <w:rsid w:val="00940BA8"/>
    <w:rsid w:val="00944BE9"/>
    <w:rsid w:val="00954D11"/>
    <w:rsid w:val="00970821"/>
    <w:rsid w:val="00970E8B"/>
    <w:rsid w:val="00971C19"/>
    <w:rsid w:val="009A0A14"/>
    <w:rsid w:val="009A384B"/>
    <w:rsid w:val="009B622A"/>
    <w:rsid w:val="009C14ED"/>
    <w:rsid w:val="009C21BB"/>
    <w:rsid w:val="009C583C"/>
    <w:rsid w:val="009D07CF"/>
    <w:rsid w:val="009D19DD"/>
    <w:rsid w:val="009D2340"/>
    <w:rsid w:val="009E4885"/>
    <w:rsid w:val="009E5DB2"/>
    <w:rsid w:val="009F44E8"/>
    <w:rsid w:val="00A02DE1"/>
    <w:rsid w:val="00A113D7"/>
    <w:rsid w:val="00A115BC"/>
    <w:rsid w:val="00A202A6"/>
    <w:rsid w:val="00A22F3F"/>
    <w:rsid w:val="00A32148"/>
    <w:rsid w:val="00A35B13"/>
    <w:rsid w:val="00A570F6"/>
    <w:rsid w:val="00A669EA"/>
    <w:rsid w:val="00A70643"/>
    <w:rsid w:val="00A75D0E"/>
    <w:rsid w:val="00A76CDB"/>
    <w:rsid w:val="00A770ED"/>
    <w:rsid w:val="00A808A4"/>
    <w:rsid w:val="00A85151"/>
    <w:rsid w:val="00AD5DB2"/>
    <w:rsid w:val="00AD62FA"/>
    <w:rsid w:val="00AD6B3B"/>
    <w:rsid w:val="00AD7470"/>
    <w:rsid w:val="00AE642D"/>
    <w:rsid w:val="00AF2851"/>
    <w:rsid w:val="00AF3BAE"/>
    <w:rsid w:val="00AF4CD4"/>
    <w:rsid w:val="00B07EC5"/>
    <w:rsid w:val="00B10731"/>
    <w:rsid w:val="00B12631"/>
    <w:rsid w:val="00B2097D"/>
    <w:rsid w:val="00B37A7C"/>
    <w:rsid w:val="00B57935"/>
    <w:rsid w:val="00B679FA"/>
    <w:rsid w:val="00B838E7"/>
    <w:rsid w:val="00B9688B"/>
    <w:rsid w:val="00BA58FB"/>
    <w:rsid w:val="00BB1B01"/>
    <w:rsid w:val="00BB4EAC"/>
    <w:rsid w:val="00BB63A6"/>
    <w:rsid w:val="00BF23F7"/>
    <w:rsid w:val="00C1728E"/>
    <w:rsid w:val="00C21389"/>
    <w:rsid w:val="00C33928"/>
    <w:rsid w:val="00C458C4"/>
    <w:rsid w:val="00C46177"/>
    <w:rsid w:val="00C63B16"/>
    <w:rsid w:val="00C71896"/>
    <w:rsid w:val="00C71CC6"/>
    <w:rsid w:val="00C729AD"/>
    <w:rsid w:val="00C77DA4"/>
    <w:rsid w:val="00C8072D"/>
    <w:rsid w:val="00C823B2"/>
    <w:rsid w:val="00CA776F"/>
    <w:rsid w:val="00CC6239"/>
    <w:rsid w:val="00CD3C2F"/>
    <w:rsid w:val="00CE0005"/>
    <w:rsid w:val="00CE1614"/>
    <w:rsid w:val="00D102FF"/>
    <w:rsid w:val="00D14EE3"/>
    <w:rsid w:val="00D27F6A"/>
    <w:rsid w:val="00D30510"/>
    <w:rsid w:val="00D4353B"/>
    <w:rsid w:val="00D66E8D"/>
    <w:rsid w:val="00D8671B"/>
    <w:rsid w:val="00DA19DE"/>
    <w:rsid w:val="00DC606B"/>
    <w:rsid w:val="00E01AAF"/>
    <w:rsid w:val="00E031E5"/>
    <w:rsid w:val="00E143A7"/>
    <w:rsid w:val="00E22DCA"/>
    <w:rsid w:val="00E30AA0"/>
    <w:rsid w:val="00E32749"/>
    <w:rsid w:val="00E503BD"/>
    <w:rsid w:val="00E70323"/>
    <w:rsid w:val="00E714D6"/>
    <w:rsid w:val="00E75BA3"/>
    <w:rsid w:val="00E857F3"/>
    <w:rsid w:val="00E87A9C"/>
    <w:rsid w:val="00E91094"/>
    <w:rsid w:val="00E93440"/>
    <w:rsid w:val="00EA0279"/>
    <w:rsid w:val="00EA0826"/>
    <w:rsid w:val="00EA7423"/>
    <w:rsid w:val="00EB3B4C"/>
    <w:rsid w:val="00ED1754"/>
    <w:rsid w:val="00EF1761"/>
    <w:rsid w:val="00EF4DED"/>
    <w:rsid w:val="00F05E25"/>
    <w:rsid w:val="00F06927"/>
    <w:rsid w:val="00F141C1"/>
    <w:rsid w:val="00F1461B"/>
    <w:rsid w:val="00F5171E"/>
    <w:rsid w:val="00F51B42"/>
    <w:rsid w:val="00F62291"/>
    <w:rsid w:val="00F74146"/>
    <w:rsid w:val="00F91859"/>
    <w:rsid w:val="00FB4F47"/>
    <w:rsid w:val="00FD44E0"/>
    <w:rsid w:val="00FF09A0"/>
    <w:rsid w:val="03025665"/>
    <w:rsid w:val="06C3AAEF"/>
    <w:rsid w:val="113211A5"/>
    <w:rsid w:val="11F1AFF7"/>
    <w:rsid w:val="14885C67"/>
    <w:rsid w:val="172D2D76"/>
    <w:rsid w:val="1950B524"/>
    <w:rsid w:val="1A21EA47"/>
    <w:rsid w:val="1A3A234F"/>
    <w:rsid w:val="1B1E02CE"/>
    <w:rsid w:val="1D083A95"/>
    <w:rsid w:val="229EEC18"/>
    <w:rsid w:val="23555441"/>
    <w:rsid w:val="2768B74F"/>
    <w:rsid w:val="289671C6"/>
    <w:rsid w:val="28C2383C"/>
    <w:rsid w:val="29302830"/>
    <w:rsid w:val="2E1845F4"/>
    <w:rsid w:val="30C6FC70"/>
    <w:rsid w:val="315AF3EA"/>
    <w:rsid w:val="31A8E527"/>
    <w:rsid w:val="34DFD2F2"/>
    <w:rsid w:val="36336C7C"/>
    <w:rsid w:val="36605729"/>
    <w:rsid w:val="369878EE"/>
    <w:rsid w:val="394CAF00"/>
    <w:rsid w:val="3BF364D1"/>
    <w:rsid w:val="3E3B516F"/>
    <w:rsid w:val="3E3F23B5"/>
    <w:rsid w:val="3F2B98A1"/>
    <w:rsid w:val="3FE88C3E"/>
    <w:rsid w:val="430F6792"/>
    <w:rsid w:val="4583C37A"/>
    <w:rsid w:val="45A2EE5F"/>
    <w:rsid w:val="46DE58CB"/>
    <w:rsid w:val="4A3C9590"/>
    <w:rsid w:val="4C492A46"/>
    <w:rsid w:val="4CB23A88"/>
    <w:rsid w:val="4CFF98E9"/>
    <w:rsid w:val="4E796A5D"/>
    <w:rsid w:val="4F8B75BB"/>
    <w:rsid w:val="546C4893"/>
    <w:rsid w:val="54A06F63"/>
    <w:rsid w:val="5847038A"/>
    <w:rsid w:val="59559A9C"/>
    <w:rsid w:val="5965D629"/>
    <w:rsid w:val="5C7A4201"/>
    <w:rsid w:val="5D77A161"/>
    <w:rsid w:val="5F315C4B"/>
    <w:rsid w:val="61243E7E"/>
    <w:rsid w:val="618C038B"/>
    <w:rsid w:val="62B7A90C"/>
    <w:rsid w:val="635B5BBB"/>
    <w:rsid w:val="6633B530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7103B17B"/>
    <w:rsid w:val="722FB441"/>
    <w:rsid w:val="765BC137"/>
    <w:rsid w:val="77BF8195"/>
    <w:rsid w:val="7AC0ADDA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F1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0674-6147-450C-9C7A-30AA89911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569A715A-ED15-40CD-AA44-2D087BD8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1550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Andres Felipe Torres Romero - Cont</cp:lastModifiedBy>
  <cp:revision>15</cp:revision>
  <dcterms:created xsi:type="dcterms:W3CDTF">2025-09-13T15:56:00Z</dcterms:created>
  <dcterms:modified xsi:type="dcterms:W3CDTF">2026-05-23T17:45:00Z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