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AE3BD65" w14:textId="6986CD78" w:rsidR="002F176B" w:rsidRDefault="00FD0F4C" w:rsidP="003033FD">
      <w:pPr>
        <w:spacing w:after="0" w:line="240" w:lineRule="auto"/>
        <w:jc w:val="both"/>
        <w:rPr>
          <w:rFonts w:ascii="Verdana" w:hAnsi="Verdana"/>
          <w:color w:val="000000"/>
          <w:sz w:val="20"/>
          <w:szCs w:val="20"/>
        </w:rPr>
      </w:pPr>
      <w:r>
        <w:rPr>
          <w:rFonts w:ascii="Verdana" w:hAnsi="Verdana"/>
          <w:color w:val="000000"/>
          <w:sz w:val="20"/>
          <w:szCs w:val="20"/>
        </w:rPr>
        <w:t xml:space="preserve">Coordinar las actuaciones de las entidades estatales y privadas que se adelanten dentro de los lineamientos del Subsistema Nacional de la Calidad- SNCA, además proponer y recomendar acciones para el fortalecimiento </w:t>
      </w:r>
      <w:proofErr w:type="gramStart"/>
      <w:r>
        <w:rPr>
          <w:rFonts w:ascii="Verdana" w:hAnsi="Verdana"/>
          <w:color w:val="000000"/>
          <w:sz w:val="20"/>
          <w:szCs w:val="20"/>
        </w:rPr>
        <w:t>del mismo</w:t>
      </w:r>
      <w:proofErr w:type="gramEnd"/>
      <w:r>
        <w:rPr>
          <w:rFonts w:ascii="Verdana" w:hAnsi="Verdana"/>
          <w:color w:val="000000"/>
          <w:sz w:val="20"/>
          <w:szCs w:val="20"/>
        </w:rPr>
        <w:t>. </w:t>
      </w:r>
    </w:p>
    <w:p w14:paraId="7385765E" w14:textId="77777777" w:rsidR="00FD0F4C" w:rsidRPr="00666AB9" w:rsidRDefault="00FD0F4C"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75"/>
        <w:gridCol w:w="10725"/>
      </w:tblGrid>
      <w:tr w:rsidR="00FD0F4C" w:rsidRPr="00FD0F4C" w14:paraId="0B97719E" w14:textId="77777777" w:rsidTr="00FD0F4C">
        <w:trPr>
          <w:tblCellSpacing w:w="0" w:type="dxa"/>
        </w:trPr>
        <w:tc>
          <w:tcPr>
            <w:tcW w:w="75" w:type="dxa"/>
            <w:hideMark/>
          </w:tcPr>
          <w:p w14:paraId="6FF615DC" w14:textId="07BA161F" w:rsidR="00FD0F4C" w:rsidRPr="00FD0F4C" w:rsidRDefault="00FD0F4C" w:rsidP="00FD0F4C">
            <w:pPr>
              <w:spacing w:after="0" w:line="240" w:lineRule="auto"/>
              <w:rPr>
                <w:rFonts w:ascii="Arial" w:eastAsia="Times New Roman" w:hAnsi="Arial" w:cs="Arial"/>
                <w:sz w:val="24"/>
                <w:szCs w:val="24"/>
                <w:lang w:eastAsia="es-CO"/>
              </w:rPr>
            </w:pPr>
            <w:r w:rsidRPr="00FD0F4C">
              <w:rPr>
                <w:rFonts w:ascii="Arial" w:eastAsia="Times New Roman" w:hAnsi="Arial" w:cs="Arial"/>
                <w:noProof/>
                <w:sz w:val="24"/>
                <w:szCs w:val="24"/>
                <w:lang w:eastAsia="es-CO"/>
              </w:rPr>
              <w:drawing>
                <wp:inline distT="0" distB="0" distL="0" distR="0" wp14:anchorId="2DAD6485" wp14:editId="192A52E0">
                  <wp:extent cx="6350" cy="6350"/>
                  <wp:effectExtent l="0" t="0" r="0" b="0"/>
                  <wp:docPr id="1" name="Imagen 1"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stioncalidad.mincit.gov.co/IsolucionCalidad/g/vacio1x1.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hideMark/>
          </w:tcPr>
          <w:p w14:paraId="4EB18711" w14:textId="77777777" w:rsidR="00FD0F4C" w:rsidRPr="00FD0F4C" w:rsidRDefault="00FD0F4C" w:rsidP="00FD0F4C">
            <w:pPr>
              <w:spacing w:after="0" w:line="240" w:lineRule="auto"/>
              <w:rPr>
                <w:rFonts w:ascii="Verdana" w:eastAsia="Times New Roman" w:hAnsi="Verdana" w:cs="Arial"/>
                <w:sz w:val="20"/>
                <w:szCs w:val="20"/>
                <w:lang w:eastAsia="es-CO"/>
              </w:rPr>
            </w:pPr>
            <w:r w:rsidRPr="00FD0F4C">
              <w:rPr>
                <w:rFonts w:ascii="Verdana" w:eastAsia="Times New Roman" w:hAnsi="Verdana" w:cs="Arial"/>
                <w:sz w:val="20"/>
                <w:szCs w:val="20"/>
                <w:lang w:eastAsia="es-CO"/>
              </w:rPr>
              <w:t>Aplica para las actividades que se desarrollan en el marco de la coordinación de la Comisión Intersectorial de Calidad, inicia con la construcción de la agenda a desarrollar durante la vigencia y finaliza con las recomendaciones, proyectos de ley, decretos y/o resoluciones que se estimen para el fortalecimiento para el Subsistema Nacional de la Calidad. </w:t>
            </w:r>
          </w:p>
        </w:tc>
      </w:tr>
    </w:tbl>
    <w:p w14:paraId="2B42DE8E" w14:textId="77777777" w:rsidR="001C6CBA" w:rsidRPr="00666AB9" w:rsidRDefault="001C6CBA" w:rsidP="003033FD">
      <w:pPr>
        <w:spacing w:after="0" w:line="240" w:lineRule="auto"/>
        <w:jc w:val="both"/>
        <w:rPr>
          <w:rFonts w:ascii="Verdana" w:hAnsi="Verdana" w:cs="Arial"/>
          <w:b/>
          <w:sz w:val="20"/>
          <w:szCs w:val="20"/>
        </w:rPr>
      </w:pPr>
    </w:p>
    <w:p w14:paraId="2375D6A3" w14:textId="3E95B7AB" w:rsidR="00E32749" w:rsidRPr="00FD0F4C"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FD0F4C">
        <w:rPr>
          <w:rFonts w:ascii="Verdana" w:hAnsi="Verdana" w:cs="Arial"/>
          <w:b/>
          <w:bCs/>
          <w:sz w:val="20"/>
          <w:szCs w:val="20"/>
        </w:rPr>
        <w:t>DEFINICIONES Y</w:t>
      </w:r>
      <w:r w:rsidR="7103B17B" w:rsidRPr="00FD0F4C">
        <w:rPr>
          <w:rFonts w:ascii="Verdana" w:hAnsi="Verdana" w:cs="Arial"/>
          <w:b/>
          <w:bCs/>
          <w:sz w:val="20"/>
          <w:szCs w:val="20"/>
        </w:rPr>
        <w:t xml:space="preserve"> SIGLAS</w:t>
      </w:r>
    </w:p>
    <w:p w14:paraId="72F2E53E" w14:textId="77777777" w:rsidR="00FD0F4C" w:rsidRPr="00FD0F4C" w:rsidRDefault="00A22F3F" w:rsidP="00FD0F4C">
      <w:pPr>
        <w:spacing w:after="0" w:line="240" w:lineRule="auto"/>
        <w:rPr>
          <w:rFonts w:ascii="Verdana" w:hAnsi="Verdana" w:cs="Arial"/>
          <w:sz w:val="20"/>
          <w:szCs w:val="20"/>
        </w:rPr>
      </w:pPr>
      <w:r w:rsidRPr="00FD0F4C">
        <w:rPr>
          <w:rFonts w:ascii="Verdana" w:hAnsi="Verdana" w:cs="Arial"/>
          <w:sz w:val="20"/>
          <w:szCs w:val="20"/>
        </w:rPr>
        <w:t> </w:t>
      </w:r>
      <w:r w:rsidR="00FD0F4C" w:rsidRPr="00FD0F4C">
        <w:rPr>
          <w:rFonts w:ascii="Verdana" w:hAnsi="Verdana" w:cs="Arial"/>
          <w:sz w:val="20"/>
          <w:szCs w:val="20"/>
        </w:rPr>
        <w:tab/>
      </w:r>
      <w:r w:rsidR="00FD0F4C" w:rsidRPr="00FD0F4C">
        <w:rPr>
          <w:rFonts w:ascii="Verdana" w:hAnsi="Verdana" w:cs="Arial"/>
          <w:sz w:val="20"/>
          <w:szCs w:val="20"/>
        </w:rPr>
        <w:tab/>
      </w:r>
      <w:r w:rsidR="00FD0F4C" w:rsidRPr="00FD0F4C">
        <w:rPr>
          <w:rFonts w:ascii="Verdana" w:hAnsi="Verdana" w:cs="Arial"/>
          <w:sz w:val="20"/>
          <w:szCs w:val="20"/>
        </w:rPr>
        <w:tab/>
      </w:r>
    </w:p>
    <w:p w14:paraId="6B516159" w14:textId="17FFA383" w:rsidR="00FD0F4C" w:rsidRPr="00FD0F4C" w:rsidRDefault="00FD0F4C" w:rsidP="00FD0F4C">
      <w:pPr>
        <w:spacing w:after="0" w:line="240" w:lineRule="auto"/>
        <w:rPr>
          <w:rFonts w:ascii="Verdana" w:hAnsi="Verdana" w:cs="Arial"/>
          <w:sz w:val="20"/>
          <w:szCs w:val="20"/>
        </w:rPr>
      </w:pPr>
      <w:r w:rsidRPr="00FD0F4C">
        <w:rPr>
          <w:rFonts w:ascii="Verdana" w:hAnsi="Verdana" w:cs="Arial"/>
          <w:sz w:val="20"/>
          <w:szCs w:val="20"/>
        </w:rPr>
        <w:t xml:space="preserve">COMISIÓN INTERSECTORIAL DE CALIDAD: </w:t>
      </w:r>
      <w:r w:rsidRPr="00FD0F4C">
        <w:rPr>
          <w:rFonts w:ascii="Verdana" w:hAnsi="Verdana" w:cs="Arial"/>
          <w:color w:val="333333"/>
          <w:sz w:val="20"/>
          <w:szCs w:val="20"/>
        </w:rPr>
        <w:t>Órgano consultivo cuyo objeto es coordinar la actuación de las entidades estatales y privadas dentro de los lineamientos del subsistema nacional de la calidad.</w:t>
      </w:r>
    </w:p>
    <w:p w14:paraId="2C108DD7" w14:textId="77777777" w:rsidR="00FD0F4C" w:rsidRPr="00FD0F4C" w:rsidRDefault="00FD0F4C" w:rsidP="00FD0F4C">
      <w:pPr>
        <w:spacing w:after="0" w:line="240" w:lineRule="auto"/>
        <w:rPr>
          <w:rFonts w:ascii="Verdana" w:hAnsi="Verdana" w:cs="Arial"/>
          <w:sz w:val="20"/>
          <w:szCs w:val="20"/>
        </w:rPr>
      </w:pPr>
    </w:p>
    <w:p w14:paraId="121E4A59" w14:textId="73966319" w:rsidR="00FD0F4C" w:rsidRPr="00FD0F4C" w:rsidRDefault="00FD0F4C" w:rsidP="00FD0F4C">
      <w:pPr>
        <w:spacing w:after="0" w:line="240" w:lineRule="auto"/>
        <w:rPr>
          <w:rFonts w:ascii="Verdana" w:hAnsi="Verdana" w:cs="Arial"/>
          <w:sz w:val="20"/>
          <w:szCs w:val="20"/>
        </w:rPr>
      </w:pPr>
      <w:r w:rsidRPr="00FD0F4C">
        <w:rPr>
          <w:rFonts w:ascii="Verdana" w:hAnsi="Verdana" w:cs="Arial"/>
          <w:sz w:val="20"/>
          <w:szCs w:val="20"/>
        </w:rPr>
        <w:t xml:space="preserve">ORGANISMO COORDINADOR: </w:t>
      </w:r>
      <w:r w:rsidRPr="00FD0F4C">
        <w:rPr>
          <w:rFonts w:ascii="Verdana" w:hAnsi="Verdana" w:cs="Arial"/>
          <w:color w:val="333333"/>
          <w:sz w:val="20"/>
          <w:szCs w:val="20"/>
        </w:rPr>
        <w:t>Entidad encargada de coordinar las actividades de los grupos técnicos de trabajo.</w:t>
      </w:r>
    </w:p>
    <w:p w14:paraId="2F16F89F" w14:textId="77777777" w:rsidR="00FD0F4C" w:rsidRPr="00FD0F4C" w:rsidRDefault="00FD0F4C" w:rsidP="00FD0F4C">
      <w:pPr>
        <w:spacing w:after="0" w:line="240" w:lineRule="auto"/>
        <w:rPr>
          <w:rFonts w:ascii="Verdana" w:hAnsi="Verdana" w:cs="Arial"/>
          <w:sz w:val="20"/>
          <w:szCs w:val="20"/>
        </w:rPr>
      </w:pPr>
    </w:p>
    <w:p w14:paraId="1F4CBFC2" w14:textId="7D465085" w:rsidR="00FD0F4C" w:rsidRPr="00FD0F4C" w:rsidRDefault="00FD0F4C" w:rsidP="00FD0F4C">
      <w:pPr>
        <w:spacing w:after="0" w:line="240" w:lineRule="auto"/>
        <w:rPr>
          <w:rFonts w:ascii="Verdana" w:hAnsi="Verdana" w:cs="Arial"/>
          <w:sz w:val="20"/>
          <w:szCs w:val="20"/>
        </w:rPr>
      </w:pPr>
      <w:r w:rsidRPr="00FD0F4C">
        <w:rPr>
          <w:rFonts w:ascii="Verdana" w:hAnsi="Verdana" w:cs="Arial"/>
          <w:sz w:val="20"/>
          <w:szCs w:val="20"/>
        </w:rPr>
        <w:t xml:space="preserve">SECRETARÍA TÉCNICA: </w:t>
      </w:r>
      <w:r w:rsidRPr="00FD0F4C">
        <w:rPr>
          <w:rFonts w:ascii="Verdana" w:hAnsi="Verdana" w:cs="Arial"/>
          <w:color w:val="333333"/>
          <w:sz w:val="20"/>
          <w:szCs w:val="20"/>
        </w:rPr>
        <w:t>Entidad encargada de brindar apoyo a la Comisión en los aspectos especializados y documentales sobre los temas técnicos del Subsistema Nacional de la Calidad.</w:t>
      </w:r>
    </w:p>
    <w:p w14:paraId="5E6540B4" w14:textId="77777777" w:rsidR="00FD0F4C" w:rsidRPr="00FD0F4C" w:rsidRDefault="00FD0F4C" w:rsidP="00FD0F4C">
      <w:pPr>
        <w:spacing w:after="0" w:line="240" w:lineRule="auto"/>
        <w:rPr>
          <w:rFonts w:ascii="Verdana" w:hAnsi="Verdana" w:cs="Arial"/>
          <w:sz w:val="20"/>
          <w:szCs w:val="20"/>
        </w:rPr>
      </w:pPr>
    </w:p>
    <w:p w14:paraId="6D702150" w14:textId="4ED9AEC2" w:rsidR="00FD0F4C" w:rsidRPr="00FD0F4C" w:rsidRDefault="00FD0F4C" w:rsidP="00FD0F4C">
      <w:pPr>
        <w:spacing w:after="0" w:line="240" w:lineRule="auto"/>
        <w:rPr>
          <w:rFonts w:ascii="Verdana" w:hAnsi="Verdana" w:cs="Arial"/>
          <w:sz w:val="20"/>
          <w:szCs w:val="20"/>
        </w:rPr>
      </w:pPr>
      <w:r w:rsidRPr="00FD0F4C">
        <w:rPr>
          <w:rFonts w:ascii="Verdana" w:hAnsi="Verdana" w:cs="Arial"/>
          <w:sz w:val="20"/>
          <w:szCs w:val="20"/>
        </w:rPr>
        <w:t xml:space="preserve">SUBSISTEMA NACIONAL DE LA CALIDAD: </w:t>
      </w:r>
      <w:r w:rsidRPr="00FD0F4C">
        <w:rPr>
          <w:rFonts w:ascii="Verdana" w:hAnsi="Verdana" w:cs="Arial"/>
          <w:color w:val="333333"/>
          <w:sz w:val="20"/>
          <w:szCs w:val="20"/>
        </w:rPr>
        <w:t>Subsistema del sistema administrativo nacional de competitividad SNC, creado mediante el Decreto 2828 de 2006.</w:t>
      </w:r>
    </w:p>
    <w:p w14:paraId="01BAF7CC" w14:textId="77777777" w:rsidR="00FD0F4C" w:rsidRPr="00FD0F4C" w:rsidRDefault="00FD0F4C" w:rsidP="00FD0F4C">
      <w:pPr>
        <w:spacing w:after="0" w:line="240" w:lineRule="auto"/>
        <w:rPr>
          <w:rFonts w:ascii="Verdana" w:hAnsi="Verdana" w:cs="Arial"/>
          <w:sz w:val="20"/>
          <w:szCs w:val="20"/>
        </w:rPr>
      </w:pPr>
    </w:p>
    <w:p w14:paraId="3B8FA958" w14:textId="49A52185" w:rsidR="00A35B13" w:rsidRPr="00FD0F4C" w:rsidRDefault="00FD0F4C" w:rsidP="00FD0F4C">
      <w:pPr>
        <w:spacing w:after="0" w:line="240" w:lineRule="auto"/>
        <w:rPr>
          <w:rFonts w:ascii="Verdana" w:hAnsi="Verdana" w:cs="Arial"/>
          <w:sz w:val="20"/>
          <w:szCs w:val="20"/>
        </w:rPr>
      </w:pPr>
      <w:r w:rsidRPr="00FD0F4C">
        <w:rPr>
          <w:rFonts w:ascii="Verdana" w:hAnsi="Verdana" w:cs="Arial"/>
          <w:sz w:val="20"/>
          <w:szCs w:val="20"/>
        </w:rPr>
        <w:t xml:space="preserve">GRUPOS TÉCNICOS DE TRABAJO: </w:t>
      </w:r>
      <w:r w:rsidRPr="00FD0F4C">
        <w:rPr>
          <w:rFonts w:ascii="Verdana" w:hAnsi="Verdana" w:cs="Arial"/>
          <w:color w:val="333333"/>
          <w:sz w:val="20"/>
          <w:szCs w:val="20"/>
        </w:rPr>
        <w:t>Grupo de personas con conocimientos técnicos encargadas de elaborar conceptos y propuestas sobre temas de su ámbito.</w:t>
      </w:r>
    </w:p>
    <w:p w14:paraId="66FD4D5D" w14:textId="77777777" w:rsidR="00A22F3F" w:rsidRPr="00666AB9" w:rsidRDefault="00A22F3F"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453BA7F4" w14:textId="77777777" w:rsidR="00FD0F4C" w:rsidRDefault="00FD0F4C" w:rsidP="00FD0F4C">
      <w:pPr>
        <w:spacing w:after="0" w:line="240" w:lineRule="auto"/>
        <w:rPr>
          <w:rFonts w:ascii="Verdana" w:hAnsi="Verdana"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75"/>
        <w:gridCol w:w="10725"/>
      </w:tblGrid>
      <w:tr w:rsidR="00FD0F4C" w:rsidRPr="00FD0F4C" w14:paraId="78DA7A9C" w14:textId="77777777" w:rsidTr="00FD0F4C">
        <w:trPr>
          <w:tblCellSpacing w:w="0" w:type="dxa"/>
        </w:trPr>
        <w:tc>
          <w:tcPr>
            <w:tcW w:w="75" w:type="dxa"/>
            <w:hideMark/>
          </w:tcPr>
          <w:p w14:paraId="6BC6D201" w14:textId="5ACCFD13" w:rsidR="00FD0F4C" w:rsidRPr="00FD0F4C" w:rsidRDefault="00FD0F4C" w:rsidP="00FD0F4C">
            <w:pPr>
              <w:spacing w:after="0" w:line="240" w:lineRule="auto"/>
              <w:rPr>
                <w:rFonts w:ascii="Arial" w:eastAsia="Times New Roman" w:hAnsi="Arial" w:cs="Arial"/>
                <w:sz w:val="24"/>
                <w:szCs w:val="24"/>
                <w:lang w:eastAsia="es-CO"/>
              </w:rPr>
            </w:pPr>
            <w:r w:rsidRPr="00FD0F4C">
              <w:rPr>
                <w:rFonts w:ascii="Arial" w:eastAsia="Times New Roman" w:hAnsi="Arial" w:cs="Arial"/>
                <w:noProof/>
                <w:sz w:val="24"/>
                <w:szCs w:val="24"/>
                <w:lang w:eastAsia="es-CO"/>
              </w:rPr>
              <w:drawing>
                <wp:inline distT="0" distB="0" distL="0" distR="0" wp14:anchorId="412962F9" wp14:editId="46E1AD95">
                  <wp:extent cx="6350" cy="6350"/>
                  <wp:effectExtent l="0" t="0" r="0" b="0"/>
                  <wp:docPr id="2" name="Imagen 2"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estioncalidad.mincit.gov.co/IsolucionCalidad/g/vacio1x1.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hideMark/>
          </w:tcPr>
          <w:p w14:paraId="4573719D" w14:textId="5730125E" w:rsidR="00FD0F4C" w:rsidRPr="00FD0F4C" w:rsidRDefault="00FD0F4C" w:rsidP="00FD0F4C">
            <w:pPr>
              <w:spacing w:after="0" w:line="240" w:lineRule="auto"/>
              <w:jc w:val="both"/>
              <w:rPr>
                <w:rFonts w:ascii="Verdana" w:eastAsia="Times New Roman" w:hAnsi="Verdana" w:cs="Arial"/>
                <w:sz w:val="20"/>
                <w:szCs w:val="20"/>
                <w:lang w:eastAsia="es-CO"/>
              </w:rPr>
            </w:pPr>
            <w:r w:rsidRPr="00FD0F4C">
              <w:rPr>
                <w:rFonts w:ascii="Verdana" w:eastAsia="Times New Roman" w:hAnsi="Verdana" w:cs="Arial"/>
                <w:sz w:val="20"/>
                <w:szCs w:val="20"/>
                <w:lang w:eastAsia="es-CO"/>
              </w:rPr>
              <w:t xml:space="preserve">Este procedimiento se ejecuta según lo señalado en el </w:t>
            </w:r>
            <w:r w:rsidR="009B718F" w:rsidRPr="00FD0F4C">
              <w:rPr>
                <w:rFonts w:ascii="Verdana" w:eastAsia="Times New Roman" w:hAnsi="Verdana" w:cs="Arial"/>
                <w:sz w:val="20"/>
                <w:szCs w:val="20"/>
                <w:lang w:eastAsia="es-CO"/>
              </w:rPr>
              <w:t>artículo</w:t>
            </w:r>
            <w:r w:rsidRPr="00FD0F4C">
              <w:rPr>
                <w:rFonts w:ascii="Verdana" w:eastAsia="Times New Roman" w:hAnsi="Verdana" w:cs="Arial"/>
                <w:sz w:val="20"/>
                <w:szCs w:val="20"/>
                <w:lang w:eastAsia="es-CO"/>
              </w:rPr>
              <w:t xml:space="preserve"> 28 del Decreto 210 de 2003, de igual manera, por el Decreto 2269 de 1993 modificado por el Decreto 3257 de 2008 mediante el cual se crea la Comisión Intersectorial de Calidad y se establece la coordinación de </w:t>
            </w:r>
            <w:proofErr w:type="gramStart"/>
            <w:r w:rsidRPr="00FD0F4C">
              <w:rPr>
                <w:rFonts w:ascii="Verdana" w:eastAsia="Times New Roman" w:hAnsi="Verdana" w:cs="Arial"/>
                <w:sz w:val="20"/>
                <w:szCs w:val="20"/>
                <w:lang w:eastAsia="es-CO"/>
              </w:rPr>
              <w:t>la misma</w:t>
            </w:r>
            <w:proofErr w:type="gramEnd"/>
            <w:r w:rsidRPr="00FD0F4C">
              <w:rPr>
                <w:rFonts w:ascii="Verdana" w:eastAsia="Times New Roman" w:hAnsi="Verdana" w:cs="Arial"/>
                <w:sz w:val="20"/>
                <w:szCs w:val="20"/>
                <w:lang w:eastAsia="es-CO"/>
              </w:rPr>
              <w:t xml:space="preserve"> en cabeza del Ministro de Comercio, Industria y Turismo. </w:t>
            </w:r>
            <w:proofErr w:type="spellStart"/>
            <w:r w:rsidRPr="00FD0F4C">
              <w:rPr>
                <w:rFonts w:ascii="Verdana" w:eastAsia="Times New Roman" w:hAnsi="Verdana" w:cs="Arial"/>
                <w:sz w:val="20"/>
                <w:szCs w:val="20"/>
                <w:lang w:eastAsia="es-CO"/>
              </w:rPr>
              <w:t>Asi</w:t>
            </w:r>
            <w:proofErr w:type="spellEnd"/>
            <w:r w:rsidRPr="00FD0F4C">
              <w:rPr>
                <w:rFonts w:ascii="Verdana" w:eastAsia="Times New Roman" w:hAnsi="Verdana" w:cs="Arial"/>
                <w:sz w:val="20"/>
                <w:szCs w:val="20"/>
                <w:lang w:eastAsia="es-CO"/>
              </w:rPr>
              <w:t xml:space="preserve"> como el </w:t>
            </w:r>
            <w:proofErr w:type="spellStart"/>
            <w:r w:rsidRPr="00FD0F4C">
              <w:rPr>
                <w:rFonts w:ascii="Verdana" w:eastAsia="Times New Roman" w:hAnsi="Verdana" w:cs="Arial"/>
                <w:sz w:val="20"/>
                <w:szCs w:val="20"/>
                <w:lang w:eastAsia="es-CO"/>
              </w:rPr>
              <w:t>Conpes</w:t>
            </w:r>
            <w:proofErr w:type="spellEnd"/>
            <w:r w:rsidRPr="00FD0F4C">
              <w:rPr>
                <w:rFonts w:ascii="Verdana" w:eastAsia="Times New Roman" w:hAnsi="Verdana" w:cs="Arial"/>
                <w:sz w:val="20"/>
                <w:szCs w:val="20"/>
                <w:lang w:eastAsia="es-CO"/>
              </w:rPr>
              <w:t xml:space="preserve"> 3446 de 2006 que establece los lineamientos para la </w:t>
            </w:r>
            <w:r w:rsidR="009B718F" w:rsidRPr="00FD0F4C">
              <w:rPr>
                <w:rFonts w:ascii="Verdana" w:eastAsia="Times New Roman" w:hAnsi="Verdana" w:cs="Arial"/>
                <w:sz w:val="20"/>
                <w:szCs w:val="20"/>
                <w:lang w:eastAsia="es-CO"/>
              </w:rPr>
              <w:t>política</w:t>
            </w:r>
            <w:r w:rsidRPr="00FD0F4C">
              <w:rPr>
                <w:rFonts w:ascii="Verdana" w:eastAsia="Times New Roman" w:hAnsi="Verdana" w:cs="Arial"/>
                <w:sz w:val="20"/>
                <w:szCs w:val="20"/>
                <w:lang w:eastAsia="es-CO"/>
              </w:rPr>
              <w:t xml:space="preserve"> Nacional de Calidad. Igualmente, mediante la Resolución 1365 de 2011 se delega al Director de Regulación, como representante del Ministro de Comercio, Industria y Turismo en la Comisión Intersectorial de Calidad. De la misma manera, el Decreto 1595 de 2015 expidió normas relativas al Subsistema Nacional de la Calidad y modificó el </w:t>
            </w:r>
            <w:r w:rsidR="009B718F" w:rsidRPr="00FD0F4C">
              <w:rPr>
                <w:rFonts w:ascii="Verdana" w:eastAsia="Times New Roman" w:hAnsi="Verdana" w:cs="Arial"/>
                <w:sz w:val="20"/>
                <w:szCs w:val="20"/>
                <w:lang w:eastAsia="es-CO"/>
              </w:rPr>
              <w:t>capítulo</w:t>
            </w:r>
            <w:r w:rsidRPr="00FD0F4C">
              <w:rPr>
                <w:rFonts w:ascii="Verdana" w:eastAsia="Times New Roman" w:hAnsi="Verdana" w:cs="Arial"/>
                <w:sz w:val="20"/>
                <w:szCs w:val="20"/>
                <w:lang w:eastAsia="es-CO"/>
              </w:rPr>
              <w:t xml:space="preserve"> 7 y la sección 1 del capítulo 8 del título 1 de la parte 2 del libro 2 del Decreto 1074 de 2015 (Decreto Único Reglamentario del sector Comercio, Industria y Turismo).</w:t>
            </w:r>
          </w:p>
        </w:tc>
      </w:tr>
    </w:tbl>
    <w:p w14:paraId="3D93C2CE" w14:textId="00ABFA91" w:rsidR="00900199" w:rsidRPr="00FD0F4C" w:rsidRDefault="00900199" w:rsidP="00FD0F4C">
      <w:pPr>
        <w:spacing w:after="0" w:line="240" w:lineRule="auto"/>
        <w:rPr>
          <w:rFonts w:ascii="Verdana" w:hAnsi="Verdana" w:cs="Arial"/>
          <w:bCs/>
          <w:sz w:val="20"/>
          <w:szCs w:val="20"/>
          <w:lang w:val="es-MX"/>
        </w:rPr>
      </w:pPr>
    </w:p>
    <w:p w14:paraId="58536DD1" w14:textId="180EC382"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FD0F4C">
        <w:rPr>
          <w:rFonts w:ascii="Verdana" w:hAnsi="Verdana" w:cs="Arial"/>
          <w:b/>
          <w:bCs/>
          <w:sz w:val="20"/>
          <w:szCs w:val="20"/>
          <w:lang w:val="es-MX"/>
        </w:rPr>
        <w:t>1</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lastRenderedPageBreak/>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45EAAC5F" w14:textId="77777777" w:rsidR="00BB1B01" w:rsidRDefault="00BB1B01" w:rsidP="003C75B4">
      <w:pPr>
        <w:spacing w:after="0" w:line="240" w:lineRule="auto"/>
        <w:jc w:val="both"/>
        <w:rPr>
          <w:rFonts w:ascii="Verdana" w:hAnsi="Verdana" w:cs="Arial"/>
          <w:bCs/>
          <w:sz w:val="16"/>
          <w:szCs w:val="16"/>
        </w:rPr>
      </w:pPr>
    </w:p>
    <w:p w14:paraId="6EADD827" w14:textId="3CB90821" w:rsidR="00517597" w:rsidRDefault="009B718F" w:rsidP="00517597">
      <w:pPr>
        <w:spacing w:after="0" w:line="240" w:lineRule="auto"/>
        <w:jc w:val="center"/>
        <w:rPr>
          <w:rFonts w:ascii="Verdana" w:hAnsi="Verdana" w:cs="Arial"/>
          <w:bCs/>
          <w:color w:val="EE0000"/>
          <w:sz w:val="20"/>
          <w:szCs w:val="20"/>
        </w:rPr>
      </w:pPr>
      <w:r>
        <w:rPr>
          <w:rFonts w:ascii="Verdana" w:hAnsi="Verdana" w:cs="Arial"/>
          <w:bCs/>
          <w:noProof/>
          <w:color w:val="EE0000"/>
          <w:sz w:val="20"/>
          <w:szCs w:val="20"/>
        </w:rPr>
        <w:drawing>
          <wp:inline distT="0" distB="0" distL="0" distR="0" wp14:anchorId="2179A43F" wp14:editId="0BC63492">
            <wp:extent cx="5004057" cy="5600988"/>
            <wp:effectExtent l="0" t="0" r="6350" b="0"/>
            <wp:docPr id="20717252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25272" name="Imagen 2071725272"/>
                    <pic:cNvPicPr/>
                  </pic:nvPicPr>
                  <pic:blipFill>
                    <a:blip r:embed="rId12">
                      <a:extLst>
                        <a:ext uri="{28A0092B-C50C-407E-A947-70E740481C1C}">
                          <a14:useLocalDpi xmlns:a14="http://schemas.microsoft.com/office/drawing/2010/main" val="0"/>
                        </a:ext>
                      </a:extLst>
                    </a:blip>
                    <a:stretch>
                      <a:fillRect/>
                    </a:stretch>
                  </pic:blipFill>
                  <pic:spPr>
                    <a:xfrm>
                      <a:off x="0" y="0"/>
                      <a:ext cx="5004057" cy="5600988"/>
                    </a:xfrm>
                    <a:prstGeom prst="rect">
                      <a:avLst/>
                    </a:prstGeom>
                  </pic:spPr>
                </pic:pic>
              </a:graphicData>
            </a:graphic>
          </wp:inline>
        </w:drawing>
      </w:r>
    </w:p>
    <w:p w14:paraId="1F4E540F" w14:textId="77777777" w:rsidR="00517597" w:rsidRDefault="00517597" w:rsidP="00EB3B4C">
      <w:pPr>
        <w:spacing w:after="0" w:line="240" w:lineRule="auto"/>
        <w:jc w:val="both"/>
        <w:rPr>
          <w:rFonts w:ascii="Verdana" w:hAnsi="Verdana" w:cs="Arial"/>
          <w:bCs/>
          <w:color w:val="EE0000"/>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2126"/>
        <w:gridCol w:w="4661"/>
        <w:gridCol w:w="1576"/>
      </w:tblGrid>
      <w:tr w:rsidR="00DA19DE" w:rsidRPr="00666AB9" w14:paraId="127FA709" w14:textId="77777777" w:rsidTr="002B4273">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1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3C75B4" w14:paraId="63F6096D" w14:textId="77777777" w:rsidTr="002B4273">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37B03FA0" w:rsidR="00DA19DE" w:rsidRPr="003C75B4" w:rsidRDefault="003C75B4" w:rsidP="007341F5">
            <w:pPr>
              <w:spacing w:after="0" w:line="240" w:lineRule="auto"/>
              <w:ind w:left="-15"/>
              <w:jc w:val="center"/>
              <w:rPr>
                <w:rFonts w:ascii="Verdana" w:hAnsi="Verdana" w:cs="Arial"/>
                <w:bCs/>
                <w:sz w:val="16"/>
                <w:szCs w:val="16"/>
              </w:rPr>
            </w:pPr>
            <w:r w:rsidRPr="003C75B4">
              <w:rPr>
                <w:rFonts w:ascii="Verdana" w:hAnsi="Verdana" w:cs="Arial"/>
                <w:color w:val="000000"/>
                <w:sz w:val="16"/>
                <w:szCs w:val="16"/>
              </w:rPr>
              <w:t xml:space="preserve">(P) Revisar el programa anual de normalización voluntaria, al plan anual de análisis de </w:t>
            </w:r>
            <w:r w:rsidRPr="003C75B4">
              <w:rPr>
                <w:rFonts w:ascii="Verdana" w:hAnsi="Verdana" w:cs="Arial"/>
                <w:color w:val="000000"/>
                <w:sz w:val="16"/>
                <w:szCs w:val="16"/>
              </w:rPr>
              <w:lastRenderedPageBreak/>
              <w:t>impacto normativo y el inventario de reglamentos técnicos.</w:t>
            </w:r>
          </w:p>
        </w:tc>
        <w:tc>
          <w:tcPr>
            <w:tcW w:w="2126" w:type="dxa"/>
            <w:tcBorders>
              <w:bottom w:val="single" w:sz="4" w:space="0" w:color="auto"/>
            </w:tcBorders>
            <w:tcMar>
              <w:top w:w="57" w:type="dxa"/>
              <w:left w:w="113" w:type="dxa"/>
              <w:bottom w:w="57" w:type="dxa"/>
            </w:tcMar>
            <w:vAlign w:val="center"/>
          </w:tcPr>
          <w:p w14:paraId="03FA381E" w14:textId="46A5CFDC" w:rsidR="00DA19DE" w:rsidRPr="003C75B4" w:rsidRDefault="003C75B4" w:rsidP="003033FD">
            <w:pPr>
              <w:spacing w:after="0" w:line="240" w:lineRule="auto"/>
              <w:ind w:left="-15"/>
              <w:jc w:val="center"/>
              <w:rPr>
                <w:rFonts w:ascii="Verdana" w:hAnsi="Verdana" w:cs="Arial"/>
                <w:sz w:val="16"/>
                <w:szCs w:val="16"/>
              </w:rPr>
            </w:pPr>
            <w:r w:rsidRPr="003C75B4">
              <w:rPr>
                <w:rFonts w:ascii="Verdana" w:hAnsi="Verdana" w:cs="Arial"/>
                <w:color w:val="000000"/>
                <w:sz w:val="16"/>
                <w:szCs w:val="16"/>
              </w:rPr>
              <w:lastRenderedPageBreak/>
              <w:t>Director(a) de Regulación, Asesor(s), Profesional(es)</w:t>
            </w:r>
          </w:p>
        </w:tc>
        <w:tc>
          <w:tcPr>
            <w:tcW w:w="4661" w:type="dxa"/>
            <w:tcBorders>
              <w:bottom w:val="single" w:sz="4" w:space="0" w:color="auto"/>
            </w:tcBorders>
            <w:tcMar>
              <w:top w:w="57" w:type="dxa"/>
              <w:left w:w="113" w:type="dxa"/>
              <w:bottom w:w="57" w:type="dxa"/>
            </w:tcMar>
          </w:tcPr>
          <w:p w14:paraId="220445FF" w14:textId="04F62ECD" w:rsidR="00DA19DE" w:rsidRPr="003C75B4" w:rsidRDefault="003C75B4" w:rsidP="618C038B">
            <w:pPr>
              <w:spacing w:after="0" w:line="240" w:lineRule="auto"/>
              <w:ind w:left="-15"/>
              <w:jc w:val="both"/>
              <w:rPr>
                <w:rFonts w:ascii="Verdana" w:hAnsi="Verdana" w:cs="Arial"/>
                <w:sz w:val="16"/>
                <w:szCs w:val="16"/>
              </w:rPr>
            </w:pPr>
            <w:r w:rsidRPr="003C75B4">
              <w:rPr>
                <w:rFonts w:ascii="Verdana" w:hAnsi="Verdana" w:cs="Arial"/>
                <w:color w:val="000000"/>
                <w:sz w:val="16"/>
                <w:szCs w:val="16"/>
              </w:rPr>
              <w:t xml:space="preserve">Después de la identificación de los temas a agendar por la Comisión Intersectorial de la Calidad en el marco de la formulación, ejecución y seguimiento de las políticas sobre normalización, elaboración y expedición de reglamentos técnicos, acreditación, evaluación de la </w:t>
            </w:r>
            <w:r w:rsidRPr="003C75B4">
              <w:rPr>
                <w:rFonts w:ascii="Verdana" w:hAnsi="Verdana" w:cs="Arial"/>
                <w:color w:val="000000"/>
                <w:sz w:val="16"/>
                <w:szCs w:val="16"/>
              </w:rPr>
              <w:lastRenderedPageBreak/>
              <w:t>conformidad, metrología y vigilancia y control se realiza la socialización de la agenda a desarrollar durante la vigencia.</w:t>
            </w:r>
          </w:p>
        </w:tc>
        <w:tc>
          <w:tcPr>
            <w:tcW w:w="1576" w:type="dxa"/>
            <w:tcBorders>
              <w:bottom w:val="single" w:sz="4" w:space="0" w:color="auto"/>
            </w:tcBorders>
            <w:tcMar>
              <w:top w:w="57" w:type="dxa"/>
              <w:left w:w="113" w:type="dxa"/>
              <w:bottom w:w="57" w:type="dxa"/>
            </w:tcMar>
            <w:vAlign w:val="center"/>
          </w:tcPr>
          <w:p w14:paraId="18FE0442" w14:textId="75E35B94" w:rsidR="00DA19DE" w:rsidRPr="003C75B4" w:rsidRDefault="003C75B4" w:rsidP="003033FD">
            <w:pPr>
              <w:spacing w:after="0" w:line="240" w:lineRule="auto"/>
              <w:ind w:left="-15"/>
              <w:jc w:val="center"/>
              <w:rPr>
                <w:rFonts w:ascii="Verdana" w:hAnsi="Verdana" w:cs="Arial"/>
                <w:sz w:val="16"/>
                <w:szCs w:val="16"/>
              </w:rPr>
            </w:pPr>
            <w:r w:rsidRPr="003C75B4">
              <w:rPr>
                <w:rFonts w:ascii="Verdana" w:hAnsi="Verdana" w:cs="Arial"/>
                <w:color w:val="000000"/>
                <w:sz w:val="16"/>
                <w:szCs w:val="16"/>
              </w:rPr>
              <w:lastRenderedPageBreak/>
              <w:t>Correo electrónico u oficio</w:t>
            </w:r>
          </w:p>
        </w:tc>
      </w:tr>
      <w:tr w:rsidR="00DA19DE" w:rsidRPr="003C75B4" w14:paraId="1607CFEA" w14:textId="77777777" w:rsidTr="002B4273">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1596D1BB" w:rsidR="00DA19DE" w:rsidRPr="003C75B4" w:rsidRDefault="003C75B4" w:rsidP="007341F5">
            <w:pPr>
              <w:spacing w:after="0" w:line="240" w:lineRule="auto"/>
              <w:jc w:val="center"/>
              <w:rPr>
                <w:rFonts w:ascii="Verdana" w:hAnsi="Verdana" w:cs="Arial"/>
                <w:sz w:val="16"/>
                <w:szCs w:val="16"/>
              </w:rPr>
            </w:pPr>
            <w:r w:rsidRPr="003C75B4">
              <w:rPr>
                <w:rFonts w:ascii="Verdana" w:hAnsi="Verdana" w:cs="Arial"/>
                <w:color w:val="000000"/>
                <w:sz w:val="16"/>
                <w:szCs w:val="16"/>
              </w:rPr>
              <w:t>(H) Brindar asesoría técnica al ejercicio y la gestión de la Coordinación y Secretaría Técnica de la Comisión Intersectorial de la Calidad (CIC).</w:t>
            </w:r>
          </w:p>
        </w:tc>
        <w:tc>
          <w:tcPr>
            <w:tcW w:w="2126" w:type="dxa"/>
            <w:tcMar>
              <w:top w:w="57" w:type="dxa"/>
              <w:left w:w="113" w:type="dxa"/>
              <w:bottom w:w="57" w:type="dxa"/>
            </w:tcMar>
            <w:vAlign w:val="center"/>
          </w:tcPr>
          <w:p w14:paraId="0F2984B5" w14:textId="1B21CC9E" w:rsidR="00DA19DE" w:rsidRPr="003C75B4" w:rsidRDefault="003C75B4" w:rsidP="003033FD">
            <w:pPr>
              <w:spacing w:after="0" w:line="240" w:lineRule="auto"/>
              <w:rPr>
                <w:rFonts w:ascii="Verdana" w:hAnsi="Verdana" w:cs="Arial"/>
                <w:sz w:val="16"/>
                <w:szCs w:val="16"/>
              </w:rPr>
            </w:pPr>
            <w:r w:rsidRPr="003C75B4">
              <w:rPr>
                <w:rFonts w:ascii="Verdana" w:hAnsi="Verdana" w:cs="Arial"/>
                <w:color w:val="000000"/>
                <w:sz w:val="16"/>
                <w:szCs w:val="16"/>
              </w:rPr>
              <w:t>Director(a) de Regulación, Asesor(s), Profesional(es)</w:t>
            </w:r>
          </w:p>
        </w:tc>
        <w:tc>
          <w:tcPr>
            <w:tcW w:w="4661" w:type="dxa"/>
            <w:tcMar>
              <w:top w:w="57" w:type="dxa"/>
              <w:left w:w="113" w:type="dxa"/>
              <w:bottom w:w="57" w:type="dxa"/>
            </w:tcMar>
          </w:tcPr>
          <w:p w14:paraId="6BC621A6" w14:textId="7FB7467C" w:rsidR="00DA19DE" w:rsidRPr="003C75B4" w:rsidRDefault="003C75B4" w:rsidP="000F04B7">
            <w:pPr>
              <w:spacing w:after="0" w:line="240" w:lineRule="auto"/>
              <w:rPr>
                <w:rFonts w:ascii="Verdana" w:hAnsi="Verdana" w:cs="Arial"/>
                <w:sz w:val="16"/>
                <w:szCs w:val="16"/>
              </w:rPr>
            </w:pPr>
            <w:r w:rsidRPr="003C75B4">
              <w:rPr>
                <w:rFonts w:ascii="Verdana" w:hAnsi="Verdana" w:cs="Arial"/>
                <w:color w:val="000000"/>
                <w:sz w:val="16"/>
                <w:szCs w:val="16"/>
              </w:rPr>
              <w:t>De acuerdo con el Decreto 3257 de 2008, la Dirección de Regulación ejerce la Secretaría Técnica de la CIC. Se atienden todas las peticiones o consultas relacionadas con el Subsistema Nacional de la Calidad remitidas por las diferentes entidades miembros.</w:t>
            </w:r>
            <w:r w:rsidRPr="003C75B4">
              <w:rPr>
                <w:rFonts w:ascii="Verdana" w:hAnsi="Verdana" w:cs="Arial"/>
                <w:color w:val="000000"/>
                <w:sz w:val="16"/>
                <w:szCs w:val="16"/>
              </w:rPr>
              <w:br/>
              <w:t>El Ministro puede delegar la Coordinación de la CIC.</w:t>
            </w:r>
            <w:r w:rsidRPr="003C75B4">
              <w:rPr>
                <w:rFonts w:ascii="Verdana" w:hAnsi="Verdana" w:cs="Arial"/>
                <w:color w:val="000000"/>
                <w:sz w:val="16"/>
                <w:szCs w:val="16"/>
              </w:rPr>
              <w:br/>
              <w:t>Actualmente está en cabeza del Director de la Dirección de Regulación.</w:t>
            </w:r>
          </w:p>
        </w:tc>
        <w:tc>
          <w:tcPr>
            <w:tcW w:w="1576" w:type="dxa"/>
            <w:tcMar>
              <w:top w:w="57" w:type="dxa"/>
              <w:left w:w="113" w:type="dxa"/>
              <w:bottom w:w="57" w:type="dxa"/>
            </w:tcMar>
            <w:vAlign w:val="center"/>
          </w:tcPr>
          <w:p w14:paraId="2B05BBF1" w14:textId="043977FC" w:rsidR="00DA19DE" w:rsidRPr="003C75B4" w:rsidRDefault="003C75B4" w:rsidP="003033FD">
            <w:pPr>
              <w:spacing w:after="0" w:line="240" w:lineRule="auto"/>
              <w:jc w:val="center"/>
              <w:rPr>
                <w:rFonts w:ascii="Verdana" w:hAnsi="Verdana" w:cs="Arial"/>
                <w:sz w:val="16"/>
                <w:szCs w:val="16"/>
              </w:rPr>
            </w:pPr>
            <w:r w:rsidRPr="003C75B4">
              <w:rPr>
                <w:rFonts w:ascii="Verdana" w:hAnsi="Verdana" w:cs="Arial"/>
                <w:color w:val="000000"/>
                <w:sz w:val="16"/>
                <w:szCs w:val="16"/>
              </w:rPr>
              <w:t>Correo Electrónico u oficio</w:t>
            </w:r>
          </w:p>
        </w:tc>
      </w:tr>
      <w:tr w:rsidR="00851992" w:rsidRPr="003C75B4" w14:paraId="59543128" w14:textId="77777777" w:rsidTr="002B4273">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45F96781" w:rsidR="00851992" w:rsidRPr="003C75B4" w:rsidRDefault="003C75B4" w:rsidP="007341F5">
            <w:pPr>
              <w:spacing w:after="0" w:line="240" w:lineRule="auto"/>
              <w:jc w:val="center"/>
              <w:rPr>
                <w:rFonts w:ascii="Verdana" w:hAnsi="Verdana" w:cs="Arial"/>
                <w:sz w:val="16"/>
                <w:szCs w:val="16"/>
              </w:rPr>
            </w:pPr>
            <w:r w:rsidRPr="003C75B4">
              <w:rPr>
                <w:rFonts w:ascii="Verdana" w:hAnsi="Verdana" w:cs="Arial"/>
                <w:color w:val="000000"/>
                <w:sz w:val="16"/>
                <w:szCs w:val="16"/>
              </w:rPr>
              <w:t>(H) Apoyar técnicamente a las entidades miembros de la CIC.</w:t>
            </w:r>
          </w:p>
        </w:tc>
        <w:tc>
          <w:tcPr>
            <w:tcW w:w="2126" w:type="dxa"/>
            <w:tcMar>
              <w:top w:w="57" w:type="dxa"/>
              <w:left w:w="113" w:type="dxa"/>
              <w:bottom w:w="57" w:type="dxa"/>
            </w:tcMar>
            <w:vAlign w:val="center"/>
          </w:tcPr>
          <w:p w14:paraId="59BF0336" w14:textId="0BEE8962" w:rsidR="00851992" w:rsidRPr="003C75B4" w:rsidRDefault="003C75B4" w:rsidP="003033FD">
            <w:pPr>
              <w:spacing w:after="0" w:line="240" w:lineRule="auto"/>
              <w:rPr>
                <w:rFonts w:ascii="Verdana" w:hAnsi="Verdana" w:cs="Arial"/>
                <w:sz w:val="16"/>
                <w:szCs w:val="16"/>
              </w:rPr>
            </w:pPr>
            <w:r w:rsidRPr="003C75B4">
              <w:rPr>
                <w:rFonts w:ascii="Verdana" w:hAnsi="Verdana" w:cs="Arial"/>
                <w:color w:val="000000"/>
                <w:sz w:val="16"/>
                <w:szCs w:val="16"/>
              </w:rPr>
              <w:t>Director(a) de Regulación, Asesor(s), Profesional(es)</w:t>
            </w:r>
          </w:p>
        </w:tc>
        <w:tc>
          <w:tcPr>
            <w:tcW w:w="4661" w:type="dxa"/>
            <w:tcMar>
              <w:top w:w="57" w:type="dxa"/>
              <w:left w:w="113" w:type="dxa"/>
              <w:bottom w:w="57" w:type="dxa"/>
            </w:tcMar>
          </w:tcPr>
          <w:p w14:paraId="0FEB077C" w14:textId="024EE4D2" w:rsidR="00851992" w:rsidRPr="003C75B4" w:rsidRDefault="003C75B4" w:rsidP="00AF2851">
            <w:pPr>
              <w:spacing w:after="0" w:line="240" w:lineRule="auto"/>
              <w:rPr>
                <w:rFonts w:ascii="Verdana" w:hAnsi="Verdana" w:cs="Arial"/>
                <w:sz w:val="16"/>
                <w:szCs w:val="16"/>
              </w:rPr>
            </w:pPr>
            <w:r w:rsidRPr="003C75B4">
              <w:rPr>
                <w:rFonts w:ascii="Verdana" w:hAnsi="Verdana" w:cs="Arial"/>
                <w:color w:val="000000"/>
                <w:sz w:val="16"/>
                <w:szCs w:val="16"/>
              </w:rPr>
              <w:t>Se brinda colaboración en los trámites y gestiones que adelantan las entidades miembros de la CIC, a través de la participación y asesoramiento científico en las reuniones y foros relacionados con el Subsistema Nacional de la Calidad.</w:t>
            </w:r>
          </w:p>
        </w:tc>
        <w:tc>
          <w:tcPr>
            <w:tcW w:w="1576" w:type="dxa"/>
            <w:tcMar>
              <w:top w:w="57" w:type="dxa"/>
              <w:left w:w="113" w:type="dxa"/>
              <w:bottom w:w="57" w:type="dxa"/>
            </w:tcMar>
            <w:vAlign w:val="center"/>
          </w:tcPr>
          <w:p w14:paraId="468AE3DB" w14:textId="5E54E8FB" w:rsidR="00851992" w:rsidRPr="003C75B4" w:rsidRDefault="003C75B4" w:rsidP="003033FD">
            <w:pPr>
              <w:spacing w:after="0" w:line="240" w:lineRule="auto"/>
              <w:jc w:val="center"/>
              <w:rPr>
                <w:rFonts w:ascii="Verdana" w:hAnsi="Verdana" w:cs="Arial"/>
                <w:sz w:val="16"/>
                <w:szCs w:val="16"/>
              </w:rPr>
            </w:pPr>
            <w:r w:rsidRPr="003C75B4">
              <w:rPr>
                <w:rFonts w:ascii="Verdana" w:hAnsi="Verdana" w:cs="Arial"/>
                <w:color w:val="000000"/>
                <w:sz w:val="16"/>
                <w:szCs w:val="16"/>
              </w:rPr>
              <w:t>Correo Electrónico u oficio</w:t>
            </w:r>
          </w:p>
        </w:tc>
      </w:tr>
      <w:tr w:rsidR="00851992" w:rsidRPr="003C75B4" w14:paraId="0302327A" w14:textId="77777777" w:rsidTr="002B4273">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6B242D9A" w:rsidR="00851992" w:rsidRPr="003C75B4" w:rsidRDefault="003C75B4" w:rsidP="005A3044">
            <w:pPr>
              <w:jc w:val="center"/>
              <w:rPr>
                <w:rFonts w:ascii="Verdana" w:hAnsi="Verdana" w:cs="Arial"/>
                <w:color w:val="000000"/>
                <w:sz w:val="16"/>
                <w:szCs w:val="16"/>
              </w:rPr>
            </w:pPr>
            <w:r w:rsidRPr="003C75B4">
              <w:rPr>
                <w:rFonts w:ascii="Verdana" w:hAnsi="Verdana" w:cs="Arial"/>
                <w:color w:val="000000"/>
                <w:sz w:val="16"/>
                <w:szCs w:val="16"/>
              </w:rPr>
              <w:t xml:space="preserve">(H) Coordinar y participar en las reuniones de los Grupos Técnicos de Trabajo, </w:t>
            </w:r>
            <w:proofErr w:type="gramStart"/>
            <w:r w:rsidRPr="003C75B4">
              <w:rPr>
                <w:rFonts w:ascii="Verdana" w:hAnsi="Verdana" w:cs="Arial"/>
                <w:color w:val="000000"/>
                <w:sz w:val="16"/>
                <w:szCs w:val="16"/>
              </w:rPr>
              <w:t>de acuerdo a</w:t>
            </w:r>
            <w:proofErr w:type="gramEnd"/>
            <w:r w:rsidRPr="003C75B4">
              <w:rPr>
                <w:rFonts w:ascii="Verdana" w:hAnsi="Verdana" w:cs="Arial"/>
                <w:color w:val="000000"/>
                <w:sz w:val="16"/>
                <w:szCs w:val="16"/>
              </w:rPr>
              <w:t xml:space="preserve"> la pertinencia de los temas.</w:t>
            </w:r>
          </w:p>
        </w:tc>
        <w:tc>
          <w:tcPr>
            <w:tcW w:w="2126" w:type="dxa"/>
            <w:tcMar>
              <w:top w:w="57" w:type="dxa"/>
              <w:left w:w="113" w:type="dxa"/>
              <w:bottom w:w="57" w:type="dxa"/>
            </w:tcMar>
            <w:vAlign w:val="center"/>
          </w:tcPr>
          <w:p w14:paraId="35486A7B" w14:textId="670E1D9E" w:rsidR="00851992" w:rsidRPr="003C75B4" w:rsidRDefault="003C75B4" w:rsidP="003033FD">
            <w:pPr>
              <w:spacing w:after="0" w:line="240" w:lineRule="auto"/>
              <w:rPr>
                <w:rFonts w:ascii="Verdana" w:hAnsi="Verdana" w:cs="Arial"/>
                <w:sz w:val="16"/>
                <w:szCs w:val="16"/>
              </w:rPr>
            </w:pPr>
            <w:r w:rsidRPr="003C75B4">
              <w:rPr>
                <w:rFonts w:ascii="Verdana" w:hAnsi="Verdana" w:cs="Arial"/>
                <w:color w:val="000000"/>
                <w:sz w:val="16"/>
                <w:szCs w:val="16"/>
              </w:rPr>
              <w:t>Director(a) de Regulación, Asesor(s), Profesional(es)</w:t>
            </w:r>
          </w:p>
        </w:tc>
        <w:tc>
          <w:tcPr>
            <w:tcW w:w="4661" w:type="dxa"/>
            <w:tcMar>
              <w:top w:w="57" w:type="dxa"/>
              <w:left w:w="113" w:type="dxa"/>
              <w:bottom w:w="57" w:type="dxa"/>
            </w:tcMar>
          </w:tcPr>
          <w:p w14:paraId="3629C368" w14:textId="1C4D1D35" w:rsidR="00851992" w:rsidRPr="003C75B4" w:rsidRDefault="003C75B4" w:rsidP="00757FF1">
            <w:pPr>
              <w:spacing w:after="0" w:line="240" w:lineRule="auto"/>
              <w:ind w:left="94"/>
              <w:jc w:val="both"/>
              <w:rPr>
                <w:rFonts w:ascii="Verdana" w:hAnsi="Verdana" w:cs="Arial"/>
                <w:sz w:val="16"/>
                <w:szCs w:val="16"/>
              </w:rPr>
            </w:pPr>
            <w:r w:rsidRPr="003C75B4">
              <w:rPr>
                <w:rFonts w:ascii="Verdana" w:hAnsi="Verdana" w:cs="Arial"/>
                <w:color w:val="000000"/>
                <w:sz w:val="16"/>
                <w:szCs w:val="16"/>
              </w:rPr>
              <w:t>Se brinda el apoyo para la logística de la reunión y se da el acompañamiento en las diferentes reuniones de los Grupos Técnicos de Trabajo de la CIC, suministrando soporte técnico en temas relacionados con las actividades del Subsistema Nacional de la Calidad. Esta actividad, se desarrolla siempre y cuando los Grupos de Trabajo celebren reuniones.</w:t>
            </w:r>
          </w:p>
        </w:tc>
        <w:tc>
          <w:tcPr>
            <w:tcW w:w="1576" w:type="dxa"/>
            <w:tcMar>
              <w:top w:w="57" w:type="dxa"/>
              <w:left w:w="113" w:type="dxa"/>
              <w:bottom w:w="57" w:type="dxa"/>
            </w:tcMar>
            <w:vAlign w:val="center"/>
          </w:tcPr>
          <w:p w14:paraId="7B3A34A2" w14:textId="76CFAACD" w:rsidR="00851992" w:rsidRPr="003C75B4" w:rsidRDefault="003C75B4" w:rsidP="003033FD">
            <w:pPr>
              <w:spacing w:after="0" w:line="240" w:lineRule="auto"/>
              <w:jc w:val="center"/>
              <w:rPr>
                <w:rFonts w:ascii="Verdana" w:hAnsi="Verdana" w:cs="Arial"/>
                <w:sz w:val="16"/>
                <w:szCs w:val="16"/>
              </w:rPr>
            </w:pPr>
            <w:r w:rsidRPr="003C75B4">
              <w:rPr>
                <w:rFonts w:ascii="Verdana" w:hAnsi="Verdana" w:cs="Arial"/>
                <w:color w:val="000000"/>
                <w:sz w:val="16"/>
                <w:szCs w:val="16"/>
              </w:rPr>
              <w:t>Correo electrónico</w:t>
            </w:r>
          </w:p>
        </w:tc>
      </w:tr>
      <w:tr w:rsidR="00851992" w:rsidRPr="003C75B4" w14:paraId="3D1A3EAA" w14:textId="77777777" w:rsidTr="002B4273">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4B66787" w14:textId="18EDAF2A" w:rsidR="00851992" w:rsidRPr="003C75B4" w:rsidRDefault="003C75B4" w:rsidP="007341F5">
            <w:pPr>
              <w:spacing w:after="0" w:line="240" w:lineRule="auto"/>
              <w:jc w:val="center"/>
              <w:rPr>
                <w:rFonts w:ascii="Verdana" w:hAnsi="Verdana" w:cs="Arial"/>
                <w:sz w:val="16"/>
                <w:szCs w:val="16"/>
              </w:rPr>
            </w:pPr>
            <w:r w:rsidRPr="003C75B4">
              <w:rPr>
                <w:rFonts w:ascii="Verdana" w:hAnsi="Verdana" w:cs="Arial"/>
                <w:color w:val="000000"/>
                <w:sz w:val="16"/>
                <w:szCs w:val="16"/>
              </w:rPr>
              <w:t>(H) Preparar y proponer a la CIC temas de interés sectorial y elaborar los documentos correspondientes.</w:t>
            </w:r>
          </w:p>
        </w:tc>
        <w:tc>
          <w:tcPr>
            <w:tcW w:w="2126" w:type="dxa"/>
            <w:tcMar>
              <w:top w:w="57" w:type="dxa"/>
              <w:left w:w="113" w:type="dxa"/>
              <w:bottom w:w="57" w:type="dxa"/>
            </w:tcMar>
            <w:vAlign w:val="center"/>
          </w:tcPr>
          <w:p w14:paraId="74AE9310" w14:textId="1AD35356" w:rsidR="00851992" w:rsidRPr="003C75B4" w:rsidRDefault="003C75B4" w:rsidP="003033FD">
            <w:pPr>
              <w:spacing w:after="0" w:line="240" w:lineRule="auto"/>
              <w:rPr>
                <w:rFonts w:ascii="Verdana" w:hAnsi="Verdana" w:cs="Arial"/>
                <w:sz w:val="16"/>
                <w:szCs w:val="16"/>
              </w:rPr>
            </w:pPr>
            <w:r w:rsidRPr="003C75B4">
              <w:rPr>
                <w:rFonts w:ascii="Verdana" w:hAnsi="Verdana" w:cs="Arial"/>
                <w:color w:val="000000"/>
                <w:sz w:val="16"/>
                <w:szCs w:val="16"/>
              </w:rPr>
              <w:t>Director(a) de Regulación, Asesor(s), Profesional(es)</w:t>
            </w:r>
          </w:p>
        </w:tc>
        <w:tc>
          <w:tcPr>
            <w:tcW w:w="4661" w:type="dxa"/>
            <w:tcMar>
              <w:top w:w="57" w:type="dxa"/>
              <w:left w:w="113" w:type="dxa"/>
              <w:bottom w:w="57" w:type="dxa"/>
            </w:tcMar>
          </w:tcPr>
          <w:p w14:paraId="684CB1AA" w14:textId="14409C21" w:rsidR="00851992" w:rsidRPr="003C75B4" w:rsidRDefault="003C75B4" w:rsidP="00A76CDB">
            <w:pPr>
              <w:jc w:val="both"/>
              <w:rPr>
                <w:rFonts w:ascii="Verdana" w:hAnsi="Verdana" w:cs="Arial"/>
                <w:color w:val="000000"/>
                <w:sz w:val="16"/>
                <w:szCs w:val="16"/>
              </w:rPr>
            </w:pPr>
            <w:r w:rsidRPr="003C75B4">
              <w:rPr>
                <w:rFonts w:ascii="Verdana" w:hAnsi="Verdana" w:cs="Arial"/>
                <w:color w:val="000000"/>
                <w:sz w:val="16"/>
                <w:szCs w:val="16"/>
              </w:rPr>
              <w:t>Se consulta a las entidades competentes para recibir insumos que sirvan para elaborar la propuesta que será presentada a la CIC.</w:t>
            </w:r>
          </w:p>
        </w:tc>
        <w:tc>
          <w:tcPr>
            <w:tcW w:w="1576" w:type="dxa"/>
            <w:tcMar>
              <w:top w:w="57" w:type="dxa"/>
              <w:left w:w="113" w:type="dxa"/>
              <w:bottom w:w="57" w:type="dxa"/>
            </w:tcMar>
            <w:vAlign w:val="center"/>
          </w:tcPr>
          <w:p w14:paraId="6148B37A" w14:textId="568B4CFA" w:rsidR="00851992" w:rsidRPr="003C75B4" w:rsidRDefault="003C75B4" w:rsidP="003033FD">
            <w:pPr>
              <w:spacing w:after="0" w:line="240" w:lineRule="auto"/>
              <w:jc w:val="center"/>
              <w:rPr>
                <w:rFonts w:ascii="Verdana" w:hAnsi="Verdana" w:cs="Arial"/>
                <w:sz w:val="16"/>
                <w:szCs w:val="16"/>
              </w:rPr>
            </w:pPr>
            <w:r w:rsidRPr="003C75B4">
              <w:rPr>
                <w:rFonts w:ascii="Verdana" w:hAnsi="Verdana" w:cs="Arial"/>
                <w:color w:val="000000"/>
                <w:sz w:val="16"/>
                <w:szCs w:val="16"/>
              </w:rPr>
              <w:t>Correo electrónico, Documentos soporte</w:t>
            </w:r>
          </w:p>
        </w:tc>
      </w:tr>
      <w:tr w:rsidR="00851992" w:rsidRPr="003C75B4" w14:paraId="30D6DC68" w14:textId="77777777" w:rsidTr="002B4273">
        <w:trPr>
          <w:trHeight w:val="17"/>
        </w:trPr>
        <w:tc>
          <w:tcPr>
            <w:tcW w:w="566" w:type="dxa"/>
            <w:tcMar>
              <w:top w:w="57" w:type="dxa"/>
              <w:left w:w="113" w:type="dxa"/>
              <w:bottom w:w="57" w:type="dxa"/>
            </w:tcMar>
            <w:vAlign w:val="center"/>
          </w:tcPr>
          <w:p w14:paraId="2F11E41F" w14:textId="6EE0C636"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795D1266" w14:textId="77777777" w:rsidR="003C75B4" w:rsidRPr="003C75B4" w:rsidRDefault="003C75B4" w:rsidP="003C75B4">
            <w:pPr>
              <w:jc w:val="center"/>
              <w:rPr>
                <w:rFonts w:ascii="Verdana" w:hAnsi="Verdana" w:cs="Arial"/>
                <w:color w:val="000000"/>
                <w:sz w:val="16"/>
                <w:szCs w:val="16"/>
              </w:rPr>
            </w:pPr>
            <w:r w:rsidRPr="003C75B4">
              <w:rPr>
                <w:rFonts w:ascii="Verdana" w:hAnsi="Verdana" w:cs="Arial"/>
                <w:color w:val="000000"/>
                <w:sz w:val="16"/>
                <w:szCs w:val="16"/>
              </w:rPr>
              <w:br/>
              <w:t>(H) Realizar la convocatoria de la reunión de la CIC y organizar la logística para el desarrollo de la sesión.</w:t>
            </w:r>
          </w:p>
          <w:p w14:paraId="5C6932E1" w14:textId="38F4D90B" w:rsidR="00851992" w:rsidRPr="003C75B4" w:rsidRDefault="00851992" w:rsidP="007341F5">
            <w:pPr>
              <w:spacing w:after="0" w:line="240" w:lineRule="auto"/>
              <w:jc w:val="center"/>
              <w:rPr>
                <w:rFonts w:ascii="Verdana" w:hAnsi="Verdana" w:cs="Arial"/>
                <w:sz w:val="16"/>
                <w:szCs w:val="16"/>
              </w:rPr>
            </w:pPr>
          </w:p>
        </w:tc>
        <w:tc>
          <w:tcPr>
            <w:tcW w:w="2126" w:type="dxa"/>
            <w:tcMar>
              <w:top w:w="57" w:type="dxa"/>
              <w:left w:w="113" w:type="dxa"/>
              <w:bottom w:w="57" w:type="dxa"/>
            </w:tcMar>
            <w:vAlign w:val="center"/>
          </w:tcPr>
          <w:p w14:paraId="4AD1D5BA" w14:textId="2AB6293F" w:rsidR="00851992" w:rsidRPr="003C75B4" w:rsidRDefault="003C75B4" w:rsidP="003033FD">
            <w:pPr>
              <w:spacing w:after="0" w:line="240" w:lineRule="auto"/>
              <w:rPr>
                <w:rFonts w:ascii="Verdana" w:hAnsi="Verdana" w:cs="Arial"/>
                <w:sz w:val="16"/>
                <w:szCs w:val="16"/>
              </w:rPr>
            </w:pPr>
            <w:r w:rsidRPr="003C75B4">
              <w:rPr>
                <w:rFonts w:ascii="Verdana" w:hAnsi="Verdana" w:cs="Arial"/>
                <w:color w:val="000000"/>
                <w:sz w:val="16"/>
                <w:szCs w:val="16"/>
              </w:rPr>
              <w:t>Asesor, Profesional(es)</w:t>
            </w:r>
          </w:p>
        </w:tc>
        <w:tc>
          <w:tcPr>
            <w:tcW w:w="4661" w:type="dxa"/>
            <w:tcMar>
              <w:top w:w="57" w:type="dxa"/>
              <w:left w:w="113" w:type="dxa"/>
              <w:bottom w:w="57" w:type="dxa"/>
            </w:tcMar>
          </w:tcPr>
          <w:p w14:paraId="6F01214D" w14:textId="3517F8C3" w:rsidR="00851992" w:rsidRPr="003C75B4" w:rsidRDefault="003C75B4" w:rsidP="00AD5DB2">
            <w:pPr>
              <w:spacing w:after="0" w:line="240" w:lineRule="auto"/>
              <w:rPr>
                <w:rFonts w:ascii="Verdana" w:hAnsi="Verdana" w:cs="Arial"/>
                <w:sz w:val="16"/>
                <w:szCs w:val="16"/>
              </w:rPr>
            </w:pPr>
            <w:r w:rsidRPr="003C75B4">
              <w:rPr>
                <w:rFonts w:ascii="Verdana" w:hAnsi="Verdana" w:cs="Arial"/>
                <w:color w:val="000000"/>
                <w:sz w:val="16"/>
                <w:szCs w:val="16"/>
              </w:rPr>
              <w:t>Convocar la sesión mediante correo electrónico, remitiendo proyecto de acta de la sesión anterior.</w:t>
            </w:r>
            <w:r w:rsidRPr="003C75B4">
              <w:rPr>
                <w:rFonts w:ascii="Verdana" w:hAnsi="Verdana" w:cs="Arial"/>
                <w:color w:val="000000"/>
                <w:sz w:val="16"/>
                <w:szCs w:val="16"/>
              </w:rPr>
              <w:br/>
            </w:r>
            <w:r w:rsidRPr="000F04B7">
              <w:rPr>
                <w:rFonts w:ascii="Verdana" w:hAnsi="Verdana" w:cs="Arial"/>
                <w:b/>
                <w:color w:val="000000"/>
                <w:sz w:val="16"/>
                <w:szCs w:val="16"/>
              </w:rPr>
              <w:t>Nota:</w:t>
            </w:r>
            <w:r w:rsidRPr="003C75B4">
              <w:rPr>
                <w:rFonts w:ascii="Verdana" w:hAnsi="Verdana" w:cs="Arial"/>
                <w:color w:val="000000"/>
                <w:sz w:val="16"/>
                <w:szCs w:val="16"/>
              </w:rPr>
              <w:t xml:space="preserve"> La logística, incluye las actividades requeridas para coordinar agenda de participantes, sala y otros recursos materiales y tecnológicos de apoyo, preparación y reproducción de la información soporte para adelantar la sesión.</w:t>
            </w:r>
          </w:p>
        </w:tc>
        <w:tc>
          <w:tcPr>
            <w:tcW w:w="1576" w:type="dxa"/>
            <w:tcMar>
              <w:top w:w="57" w:type="dxa"/>
              <w:left w:w="113" w:type="dxa"/>
              <w:bottom w:w="57" w:type="dxa"/>
            </w:tcMar>
            <w:vAlign w:val="center"/>
          </w:tcPr>
          <w:p w14:paraId="196773EC" w14:textId="383FF728" w:rsidR="00851992" w:rsidRPr="003C75B4" w:rsidRDefault="003C75B4" w:rsidP="003033FD">
            <w:pPr>
              <w:spacing w:after="0" w:line="240" w:lineRule="auto"/>
              <w:jc w:val="center"/>
              <w:rPr>
                <w:rFonts w:ascii="Verdana" w:hAnsi="Verdana" w:cs="Arial"/>
                <w:sz w:val="16"/>
                <w:szCs w:val="16"/>
              </w:rPr>
            </w:pPr>
            <w:r w:rsidRPr="003C75B4">
              <w:rPr>
                <w:rFonts w:ascii="Verdana" w:hAnsi="Verdana" w:cs="Arial"/>
                <w:color w:val="000000"/>
                <w:sz w:val="16"/>
                <w:szCs w:val="16"/>
              </w:rPr>
              <w:t>Correo electrónico</w:t>
            </w:r>
          </w:p>
        </w:tc>
      </w:tr>
      <w:tr w:rsidR="00E93440" w:rsidRPr="003C75B4" w14:paraId="0BF65009" w14:textId="77777777" w:rsidTr="002B4273">
        <w:trPr>
          <w:trHeight w:val="17"/>
        </w:trPr>
        <w:tc>
          <w:tcPr>
            <w:tcW w:w="566" w:type="dxa"/>
            <w:tcMar>
              <w:top w:w="57" w:type="dxa"/>
              <w:left w:w="113" w:type="dxa"/>
              <w:bottom w:w="57" w:type="dxa"/>
            </w:tcMar>
            <w:vAlign w:val="center"/>
          </w:tcPr>
          <w:p w14:paraId="212D96C6" w14:textId="4020F2DD"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6CFE009F" w14:textId="2527AD1A" w:rsidR="00E93440" w:rsidRPr="003C75B4" w:rsidRDefault="003C75B4" w:rsidP="007341F5">
            <w:pPr>
              <w:spacing w:after="0" w:line="240" w:lineRule="auto"/>
              <w:jc w:val="center"/>
              <w:rPr>
                <w:rFonts w:ascii="Verdana" w:hAnsi="Verdana" w:cs="Arial"/>
                <w:sz w:val="16"/>
                <w:szCs w:val="16"/>
              </w:rPr>
            </w:pPr>
            <w:r w:rsidRPr="003C75B4">
              <w:rPr>
                <w:rFonts w:ascii="Verdana" w:hAnsi="Verdana" w:cs="Arial"/>
                <w:color w:val="000000"/>
                <w:sz w:val="16"/>
                <w:szCs w:val="16"/>
              </w:rPr>
              <w:t>(H) Celebrar la reunión de la CIC.</w:t>
            </w:r>
          </w:p>
        </w:tc>
        <w:tc>
          <w:tcPr>
            <w:tcW w:w="2126" w:type="dxa"/>
            <w:tcMar>
              <w:top w:w="57" w:type="dxa"/>
              <w:left w:w="113" w:type="dxa"/>
              <w:bottom w:w="57" w:type="dxa"/>
            </w:tcMar>
            <w:vAlign w:val="center"/>
          </w:tcPr>
          <w:p w14:paraId="676AB3AB" w14:textId="485CEE6B" w:rsidR="00E93440" w:rsidRPr="003C75B4" w:rsidRDefault="003C75B4" w:rsidP="003033FD">
            <w:pPr>
              <w:spacing w:after="0" w:line="240" w:lineRule="auto"/>
              <w:rPr>
                <w:rFonts w:ascii="Verdana" w:hAnsi="Verdana" w:cs="Arial"/>
                <w:sz w:val="16"/>
                <w:szCs w:val="16"/>
              </w:rPr>
            </w:pPr>
            <w:r w:rsidRPr="003C75B4">
              <w:rPr>
                <w:rFonts w:ascii="Verdana" w:hAnsi="Verdana" w:cs="Arial"/>
                <w:color w:val="000000"/>
                <w:sz w:val="16"/>
                <w:szCs w:val="16"/>
              </w:rPr>
              <w:t>Director(a) de Regulación, Asesor, Profesional(es)</w:t>
            </w:r>
          </w:p>
        </w:tc>
        <w:tc>
          <w:tcPr>
            <w:tcW w:w="4661" w:type="dxa"/>
            <w:tcMar>
              <w:top w:w="57" w:type="dxa"/>
              <w:left w:w="113" w:type="dxa"/>
              <w:bottom w:w="57" w:type="dxa"/>
            </w:tcMar>
          </w:tcPr>
          <w:p w14:paraId="037B9425" w14:textId="73AF1219" w:rsidR="00585793" w:rsidRPr="003C75B4" w:rsidRDefault="003C75B4" w:rsidP="000F04B7">
            <w:pPr>
              <w:spacing w:after="0" w:line="240" w:lineRule="auto"/>
              <w:rPr>
                <w:rFonts w:ascii="Verdana" w:hAnsi="Verdana" w:cs="Arial"/>
                <w:b/>
                <w:bCs/>
                <w:sz w:val="16"/>
                <w:szCs w:val="16"/>
              </w:rPr>
            </w:pPr>
            <w:r w:rsidRPr="003C75B4">
              <w:rPr>
                <w:rFonts w:ascii="Verdana" w:hAnsi="Verdana" w:cs="Arial"/>
                <w:color w:val="000000"/>
                <w:sz w:val="16"/>
                <w:szCs w:val="16"/>
              </w:rPr>
              <w:t>Controlar registro de asistencia y verificar quórum.</w:t>
            </w:r>
            <w:r w:rsidRPr="003C75B4">
              <w:rPr>
                <w:rFonts w:ascii="Verdana" w:hAnsi="Verdana" w:cs="Arial"/>
                <w:color w:val="000000"/>
                <w:sz w:val="16"/>
                <w:szCs w:val="16"/>
              </w:rPr>
              <w:br/>
              <w:t>Liderar y acompañar la sesión.</w:t>
            </w:r>
            <w:r w:rsidRPr="003C75B4">
              <w:rPr>
                <w:rFonts w:ascii="Verdana" w:hAnsi="Verdana" w:cs="Arial"/>
                <w:color w:val="000000"/>
                <w:sz w:val="16"/>
                <w:szCs w:val="16"/>
              </w:rPr>
              <w:br/>
              <w:t>Evaluar las decisiones tomadas en la CIC y propender por su debida ejecución.</w:t>
            </w:r>
          </w:p>
        </w:tc>
        <w:tc>
          <w:tcPr>
            <w:tcW w:w="1576" w:type="dxa"/>
            <w:tcMar>
              <w:top w:w="57" w:type="dxa"/>
              <w:left w:w="113" w:type="dxa"/>
              <w:bottom w:w="57" w:type="dxa"/>
            </w:tcMar>
            <w:vAlign w:val="center"/>
          </w:tcPr>
          <w:p w14:paraId="36EF0DEF" w14:textId="3533BD8E" w:rsidR="00E93440" w:rsidRPr="003C75B4" w:rsidRDefault="003C75B4" w:rsidP="003033FD">
            <w:pPr>
              <w:spacing w:after="0" w:line="240" w:lineRule="auto"/>
              <w:jc w:val="center"/>
              <w:rPr>
                <w:rFonts w:ascii="Verdana" w:hAnsi="Verdana" w:cs="Arial"/>
                <w:sz w:val="16"/>
                <w:szCs w:val="16"/>
              </w:rPr>
            </w:pPr>
            <w:r w:rsidRPr="003C75B4">
              <w:rPr>
                <w:rFonts w:ascii="Verdana" w:hAnsi="Verdana" w:cs="Arial"/>
                <w:color w:val="000000"/>
                <w:sz w:val="16"/>
                <w:szCs w:val="16"/>
              </w:rPr>
              <w:t>Acta</w:t>
            </w:r>
            <w:r w:rsidR="001D7444">
              <w:rPr>
                <w:rFonts w:ascii="Verdana" w:hAnsi="Verdana" w:cs="Arial"/>
                <w:color w:val="000000"/>
                <w:sz w:val="16"/>
                <w:szCs w:val="16"/>
              </w:rPr>
              <w:t xml:space="preserve"> (</w:t>
            </w:r>
            <w:r w:rsidR="001D7444" w:rsidRPr="001D7444">
              <w:rPr>
                <w:rFonts w:ascii="Verdana" w:hAnsi="Verdana" w:cs="Arial"/>
                <w:color w:val="000000"/>
                <w:sz w:val="16"/>
                <w:szCs w:val="16"/>
              </w:rPr>
              <w:t>GD-FM-001</w:t>
            </w:r>
            <w:r w:rsidR="001D7444">
              <w:rPr>
                <w:rFonts w:ascii="Verdana" w:hAnsi="Verdana" w:cs="Arial"/>
                <w:color w:val="000000"/>
                <w:sz w:val="16"/>
                <w:szCs w:val="16"/>
              </w:rPr>
              <w:t>)</w:t>
            </w:r>
            <w:r w:rsidRPr="003C75B4">
              <w:rPr>
                <w:rFonts w:ascii="Verdana" w:hAnsi="Verdana" w:cs="Arial"/>
                <w:color w:val="000000"/>
                <w:sz w:val="16"/>
                <w:szCs w:val="16"/>
              </w:rPr>
              <w:t xml:space="preserve"> y Registro de Asistencia</w:t>
            </w:r>
            <w:r w:rsidR="001D7444">
              <w:rPr>
                <w:rFonts w:ascii="Verdana" w:hAnsi="Verdana" w:cs="Arial"/>
                <w:color w:val="000000"/>
                <w:sz w:val="16"/>
                <w:szCs w:val="16"/>
              </w:rPr>
              <w:t xml:space="preserve"> (</w:t>
            </w:r>
            <w:r w:rsidR="001D7444" w:rsidRPr="001D7444">
              <w:rPr>
                <w:rFonts w:ascii="Verdana" w:hAnsi="Verdana" w:cs="Arial"/>
                <w:color w:val="000000"/>
                <w:sz w:val="16"/>
                <w:szCs w:val="16"/>
              </w:rPr>
              <w:t>GD-FM-0</w:t>
            </w:r>
            <w:r w:rsidR="001D7444">
              <w:rPr>
                <w:rFonts w:ascii="Verdana" w:hAnsi="Verdana" w:cs="Arial"/>
                <w:color w:val="000000"/>
                <w:sz w:val="16"/>
                <w:szCs w:val="16"/>
              </w:rPr>
              <w:t>04</w:t>
            </w:r>
            <w:r w:rsidR="00DF3757">
              <w:rPr>
                <w:rFonts w:ascii="Verdana" w:hAnsi="Verdana" w:cs="Arial"/>
                <w:color w:val="000000"/>
                <w:sz w:val="16"/>
                <w:szCs w:val="16"/>
              </w:rPr>
              <w:t>)</w:t>
            </w:r>
            <w:r w:rsidRPr="003C75B4">
              <w:rPr>
                <w:rFonts w:ascii="Verdana" w:hAnsi="Verdana" w:cs="Arial"/>
                <w:color w:val="000000"/>
                <w:sz w:val="16"/>
                <w:szCs w:val="16"/>
              </w:rPr>
              <w:t>.</w:t>
            </w:r>
          </w:p>
        </w:tc>
      </w:tr>
      <w:tr w:rsidR="00E93440" w:rsidRPr="003C75B4" w14:paraId="79B91E95" w14:textId="77777777" w:rsidTr="002B4273">
        <w:trPr>
          <w:trHeight w:val="17"/>
        </w:trPr>
        <w:tc>
          <w:tcPr>
            <w:tcW w:w="566" w:type="dxa"/>
            <w:tcMar>
              <w:top w:w="57" w:type="dxa"/>
              <w:left w:w="113" w:type="dxa"/>
              <w:bottom w:w="57" w:type="dxa"/>
            </w:tcMar>
            <w:vAlign w:val="center"/>
          </w:tcPr>
          <w:p w14:paraId="11DD12B8" w14:textId="4B11DBD4"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6923CF7E" w14:textId="3AA177AC" w:rsidR="00E93440" w:rsidRPr="003C75B4" w:rsidRDefault="003C75B4" w:rsidP="007341F5">
            <w:pPr>
              <w:spacing w:after="0" w:line="240" w:lineRule="auto"/>
              <w:jc w:val="center"/>
              <w:rPr>
                <w:rFonts w:ascii="Verdana" w:hAnsi="Verdana" w:cs="Arial"/>
                <w:sz w:val="16"/>
                <w:szCs w:val="16"/>
              </w:rPr>
            </w:pPr>
            <w:r w:rsidRPr="003C75B4">
              <w:rPr>
                <w:rFonts w:ascii="Verdana" w:hAnsi="Verdana" w:cs="Arial"/>
                <w:color w:val="000000"/>
                <w:sz w:val="16"/>
                <w:szCs w:val="16"/>
              </w:rPr>
              <w:t>(V) Analizar las recomendaciones o compromisos generados del resultado de la reunión.</w:t>
            </w:r>
          </w:p>
        </w:tc>
        <w:tc>
          <w:tcPr>
            <w:tcW w:w="2126" w:type="dxa"/>
            <w:tcMar>
              <w:top w:w="57" w:type="dxa"/>
              <w:left w:w="113" w:type="dxa"/>
              <w:bottom w:w="57" w:type="dxa"/>
            </w:tcMar>
            <w:vAlign w:val="center"/>
          </w:tcPr>
          <w:p w14:paraId="1DDC0CE3" w14:textId="4AD67C51" w:rsidR="00E93440" w:rsidRPr="003C75B4" w:rsidRDefault="003C75B4" w:rsidP="003033FD">
            <w:pPr>
              <w:spacing w:after="0" w:line="240" w:lineRule="auto"/>
              <w:rPr>
                <w:rFonts w:ascii="Verdana" w:hAnsi="Verdana" w:cs="Arial"/>
                <w:sz w:val="16"/>
                <w:szCs w:val="16"/>
              </w:rPr>
            </w:pPr>
            <w:r w:rsidRPr="003C75B4">
              <w:rPr>
                <w:rFonts w:ascii="Verdana" w:hAnsi="Verdana" w:cs="Arial"/>
                <w:color w:val="000000"/>
                <w:sz w:val="16"/>
                <w:szCs w:val="16"/>
              </w:rPr>
              <w:t>Director(a) de Regulación</w:t>
            </w:r>
          </w:p>
        </w:tc>
        <w:tc>
          <w:tcPr>
            <w:tcW w:w="4661" w:type="dxa"/>
            <w:tcMar>
              <w:top w:w="57" w:type="dxa"/>
              <w:left w:w="113" w:type="dxa"/>
              <w:bottom w:w="57" w:type="dxa"/>
            </w:tcMar>
          </w:tcPr>
          <w:p w14:paraId="1F8F7FA9" w14:textId="77777777" w:rsidR="00E93440" w:rsidRPr="003C75B4" w:rsidRDefault="003C75B4" w:rsidP="003033FD">
            <w:pPr>
              <w:spacing w:after="0" w:line="240" w:lineRule="auto"/>
              <w:jc w:val="both"/>
              <w:rPr>
                <w:rFonts w:ascii="Verdana" w:hAnsi="Verdana" w:cs="Arial"/>
                <w:color w:val="000000"/>
                <w:sz w:val="16"/>
                <w:szCs w:val="16"/>
              </w:rPr>
            </w:pPr>
            <w:r w:rsidRPr="003C75B4">
              <w:rPr>
                <w:rFonts w:ascii="Verdana" w:hAnsi="Verdana" w:cs="Arial"/>
                <w:color w:val="000000"/>
                <w:sz w:val="16"/>
                <w:szCs w:val="16"/>
              </w:rPr>
              <w:t>Punto de Control del Riesgo.</w:t>
            </w:r>
          </w:p>
          <w:p w14:paraId="17A0728E" w14:textId="77777777" w:rsidR="003C75B4" w:rsidRPr="003C75B4" w:rsidRDefault="003C75B4" w:rsidP="003033FD">
            <w:pPr>
              <w:spacing w:after="0" w:line="240" w:lineRule="auto"/>
              <w:jc w:val="both"/>
              <w:rPr>
                <w:rFonts w:ascii="Verdana" w:hAnsi="Verdana" w:cs="Arial"/>
                <w:color w:val="000000"/>
                <w:sz w:val="16"/>
                <w:szCs w:val="16"/>
              </w:rPr>
            </w:pPr>
          </w:p>
          <w:p w14:paraId="1DE71A76" w14:textId="60A153D3" w:rsidR="003C75B4" w:rsidRPr="003C75B4" w:rsidRDefault="003C75B4" w:rsidP="003033FD">
            <w:pPr>
              <w:spacing w:after="0" w:line="240" w:lineRule="auto"/>
              <w:jc w:val="both"/>
              <w:rPr>
                <w:rFonts w:ascii="Verdana" w:hAnsi="Verdana" w:cs="Arial"/>
                <w:b/>
                <w:sz w:val="16"/>
                <w:szCs w:val="16"/>
              </w:rPr>
            </w:pPr>
            <w:r w:rsidRPr="003C75B4">
              <w:rPr>
                <w:rFonts w:ascii="Verdana" w:hAnsi="Verdana" w:cs="Arial"/>
                <w:b/>
                <w:color w:val="000000"/>
                <w:sz w:val="16"/>
                <w:szCs w:val="16"/>
              </w:rPr>
              <w:t>Control DE-R1</w:t>
            </w:r>
          </w:p>
        </w:tc>
        <w:tc>
          <w:tcPr>
            <w:tcW w:w="1576" w:type="dxa"/>
            <w:tcMar>
              <w:top w:w="57" w:type="dxa"/>
              <w:left w:w="113" w:type="dxa"/>
              <w:bottom w:w="57" w:type="dxa"/>
            </w:tcMar>
            <w:vAlign w:val="center"/>
          </w:tcPr>
          <w:p w14:paraId="45EEEAF9" w14:textId="7CD5776A" w:rsidR="00E93440" w:rsidRPr="003C75B4" w:rsidRDefault="00DF3757" w:rsidP="003033FD">
            <w:pPr>
              <w:spacing w:after="0" w:line="240" w:lineRule="auto"/>
              <w:jc w:val="center"/>
              <w:rPr>
                <w:rFonts w:ascii="Verdana" w:hAnsi="Verdana" w:cs="Arial"/>
                <w:sz w:val="16"/>
                <w:szCs w:val="16"/>
              </w:rPr>
            </w:pPr>
            <w:r w:rsidRPr="003C75B4">
              <w:rPr>
                <w:rFonts w:ascii="Verdana" w:hAnsi="Verdana" w:cs="Arial"/>
                <w:color w:val="000000"/>
                <w:sz w:val="16"/>
                <w:szCs w:val="16"/>
              </w:rPr>
              <w:t>Acta</w:t>
            </w:r>
            <w:r>
              <w:rPr>
                <w:rFonts w:ascii="Verdana" w:hAnsi="Verdana" w:cs="Arial"/>
                <w:color w:val="000000"/>
                <w:sz w:val="16"/>
                <w:szCs w:val="16"/>
              </w:rPr>
              <w:t xml:space="preserve"> (</w:t>
            </w:r>
            <w:r w:rsidRPr="001D7444">
              <w:rPr>
                <w:rFonts w:ascii="Verdana" w:hAnsi="Verdana" w:cs="Arial"/>
                <w:color w:val="000000"/>
                <w:sz w:val="16"/>
                <w:szCs w:val="16"/>
              </w:rPr>
              <w:t>GD-FM-001</w:t>
            </w:r>
            <w:r>
              <w:rPr>
                <w:rFonts w:ascii="Verdana" w:hAnsi="Verdana" w:cs="Arial"/>
                <w:color w:val="000000"/>
                <w:sz w:val="16"/>
                <w:szCs w:val="16"/>
              </w:rPr>
              <w:t>)</w:t>
            </w:r>
            <w:r w:rsidRPr="003C75B4">
              <w:rPr>
                <w:rFonts w:ascii="Verdana" w:hAnsi="Verdana" w:cs="Arial"/>
                <w:color w:val="000000"/>
                <w:sz w:val="16"/>
                <w:szCs w:val="16"/>
              </w:rPr>
              <w:t xml:space="preserve"> y Registro de Asistencia</w:t>
            </w:r>
            <w:r>
              <w:rPr>
                <w:rFonts w:ascii="Verdana" w:hAnsi="Verdana" w:cs="Arial"/>
                <w:color w:val="000000"/>
                <w:sz w:val="16"/>
                <w:szCs w:val="16"/>
              </w:rPr>
              <w:t xml:space="preserve"> (</w:t>
            </w:r>
            <w:r w:rsidRPr="001D7444">
              <w:rPr>
                <w:rFonts w:ascii="Verdana" w:hAnsi="Verdana" w:cs="Arial"/>
                <w:color w:val="000000"/>
                <w:sz w:val="16"/>
                <w:szCs w:val="16"/>
              </w:rPr>
              <w:t>GD-FM-0</w:t>
            </w:r>
            <w:r>
              <w:rPr>
                <w:rFonts w:ascii="Verdana" w:hAnsi="Verdana" w:cs="Arial"/>
                <w:color w:val="000000"/>
                <w:sz w:val="16"/>
                <w:szCs w:val="16"/>
              </w:rPr>
              <w:t>04)</w:t>
            </w:r>
            <w:r w:rsidRPr="003C75B4">
              <w:rPr>
                <w:rFonts w:ascii="Verdana" w:hAnsi="Verdana" w:cs="Arial"/>
                <w:color w:val="000000"/>
                <w:sz w:val="16"/>
                <w:szCs w:val="16"/>
              </w:rPr>
              <w:t>.</w:t>
            </w:r>
          </w:p>
        </w:tc>
      </w:tr>
      <w:tr w:rsidR="00E93440" w:rsidRPr="003C75B4" w14:paraId="2A74F4C3" w14:textId="77777777" w:rsidTr="002B4273">
        <w:trPr>
          <w:trHeight w:val="17"/>
        </w:trPr>
        <w:tc>
          <w:tcPr>
            <w:tcW w:w="566" w:type="dxa"/>
            <w:tcMar>
              <w:top w:w="57" w:type="dxa"/>
              <w:left w:w="113" w:type="dxa"/>
              <w:bottom w:w="57" w:type="dxa"/>
            </w:tcMar>
            <w:vAlign w:val="center"/>
          </w:tcPr>
          <w:p w14:paraId="589A71A6" w14:textId="072B422A"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9</w:t>
            </w:r>
          </w:p>
        </w:tc>
        <w:tc>
          <w:tcPr>
            <w:tcW w:w="1839" w:type="dxa"/>
            <w:tcMar>
              <w:top w:w="57" w:type="dxa"/>
              <w:left w:w="113" w:type="dxa"/>
              <w:bottom w:w="57" w:type="dxa"/>
            </w:tcMar>
            <w:vAlign w:val="center"/>
          </w:tcPr>
          <w:p w14:paraId="3806DD40" w14:textId="0984E0A2" w:rsidR="00E93440" w:rsidRPr="003C75B4" w:rsidRDefault="003C75B4" w:rsidP="007341F5">
            <w:pPr>
              <w:spacing w:after="0" w:line="240" w:lineRule="auto"/>
              <w:jc w:val="center"/>
              <w:rPr>
                <w:rFonts w:ascii="Verdana" w:hAnsi="Verdana" w:cs="Arial"/>
                <w:sz w:val="16"/>
                <w:szCs w:val="16"/>
              </w:rPr>
            </w:pPr>
            <w:r w:rsidRPr="003C75B4">
              <w:rPr>
                <w:rFonts w:ascii="Verdana" w:hAnsi="Verdana" w:cs="Arial"/>
                <w:color w:val="000000"/>
                <w:sz w:val="16"/>
                <w:szCs w:val="16"/>
              </w:rPr>
              <w:t>(H) Elaborar el Acta de la reunión de la CIC, remitirla y someterla a consideración y aprobación de los miembros.</w:t>
            </w:r>
          </w:p>
        </w:tc>
        <w:tc>
          <w:tcPr>
            <w:tcW w:w="2126" w:type="dxa"/>
            <w:tcMar>
              <w:top w:w="57" w:type="dxa"/>
              <w:left w:w="113" w:type="dxa"/>
              <w:bottom w:w="57" w:type="dxa"/>
            </w:tcMar>
            <w:vAlign w:val="center"/>
          </w:tcPr>
          <w:p w14:paraId="7A62A1F5" w14:textId="2426FC5D" w:rsidR="00E93440" w:rsidRPr="003C75B4" w:rsidRDefault="003C75B4" w:rsidP="003033FD">
            <w:pPr>
              <w:spacing w:after="0" w:line="240" w:lineRule="auto"/>
              <w:rPr>
                <w:rFonts w:ascii="Verdana" w:hAnsi="Verdana" w:cs="Arial"/>
                <w:sz w:val="16"/>
                <w:szCs w:val="16"/>
              </w:rPr>
            </w:pPr>
            <w:r w:rsidRPr="003C75B4">
              <w:rPr>
                <w:rFonts w:ascii="Verdana" w:hAnsi="Verdana" w:cs="Arial"/>
                <w:color w:val="000000"/>
                <w:sz w:val="16"/>
                <w:szCs w:val="16"/>
              </w:rPr>
              <w:t>Director(a) de Regulación, Asesor(s), Profesional(es)</w:t>
            </w:r>
          </w:p>
        </w:tc>
        <w:tc>
          <w:tcPr>
            <w:tcW w:w="4661" w:type="dxa"/>
            <w:tcMar>
              <w:top w:w="57" w:type="dxa"/>
              <w:left w:w="113" w:type="dxa"/>
              <w:bottom w:w="57" w:type="dxa"/>
            </w:tcMar>
          </w:tcPr>
          <w:p w14:paraId="34EC3FAC" w14:textId="7CBD8712" w:rsidR="00E93440" w:rsidRPr="003C75B4" w:rsidRDefault="003C75B4" w:rsidP="003033FD">
            <w:pPr>
              <w:spacing w:after="0" w:line="240" w:lineRule="auto"/>
              <w:jc w:val="both"/>
              <w:rPr>
                <w:rFonts w:ascii="Verdana" w:hAnsi="Verdana" w:cs="Arial"/>
                <w:sz w:val="16"/>
                <w:szCs w:val="16"/>
              </w:rPr>
            </w:pPr>
            <w:r w:rsidRPr="003C75B4">
              <w:rPr>
                <w:rFonts w:ascii="Verdana" w:hAnsi="Verdana" w:cs="Arial"/>
                <w:color w:val="000000"/>
                <w:sz w:val="16"/>
                <w:szCs w:val="16"/>
              </w:rPr>
              <w:t>Se elabora el proyecto de acta con las deliberaciones y conclusiones en cada uno de los temas abordados y posteriormente se remite mediante correo electrónico a los miembros de la CIC para recibir observaciones.</w:t>
            </w:r>
          </w:p>
        </w:tc>
        <w:tc>
          <w:tcPr>
            <w:tcW w:w="1576" w:type="dxa"/>
            <w:tcMar>
              <w:top w:w="57" w:type="dxa"/>
              <w:left w:w="113" w:type="dxa"/>
              <w:bottom w:w="57" w:type="dxa"/>
            </w:tcMar>
            <w:vAlign w:val="center"/>
          </w:tcPr>
          <w:p w14:paraId="66537323" w14:textId="6FBB7D3E" w:rsidR="00E93440" w:rsidRPr="003C75B4" w:rsidRDefault="00DF3757" w:rsidP="003033FD">
            <w:pPr>
              <w:spacing w:after="0" w:line="240" w:lineRule="auto"/>
              <w:jc w:val="center"/>
              <w:rPr>
                <w:rFonts w:ascii="Verdana" w:hAnsi="Verdana" w:cs="Arial"/>
                <w:sz w:val="16"/>
                <w:szCs w:val="16"/>
              </w:rPr>
            </w:pPr>
            <w:r w:rsidRPr="003C75B4">
              <w:rPr>
                <w:rFonts w:ascii="Verdana" w:hAnsi="Verdana" w:cs="Arial"/>
                <w:color w:val="000000"/>
                <w:sz w:val="16"/>
                <w:szCs w:val="16"/>
              </w:rPr>
              <w:t>Acta</w:t>
            </w:r>
            <w:r>
              <w:rPr>
                <w:rFonts w:ascii="Verdana" w:hAnsi="Verdana" w:cs="Arial"/>
                <w:color w:val="000000"/>
                <w:sz w:val="16"/>
                <w:szCs w:val="16"/>
              </w:rPr>
              <w:t xml:space="preserve"> (</w:t>
            </w:r>
            <w:r w:rsidRPr="001D7444">
              <w:rPr>
                <w:rFonts w:ascii="Verdana" w:hAnsi="Verdana" w:cs="Arial"/>
                <w:color w:val="000000"/>
                <w:sz w:val="16"/>
                <w:szCs w:val="16"/>
              </w:rPr>
              <w:t>GD-FM-001</w:t>
            </w:r>
            <w:r>
              <w:rPr>
                <w:rFonts w:ascii="Verdana" w:hAnsi="Verdana" w:cs="Arial"/>
                <w:color w:val="000000"/>
                <w:sz w:val="16"/>
                <w:szCs w:val="16"/>
              </w:rPr>
              <w:t>)</w:t>
            </w:r>
            <w:r w:rsidR="003C75B4" w:rsidRPr="003C75B4">
              <w:rPr>
                <w:rFonts w:ascii="Verdana" w:hAnsi="Verdana" w:cs="Arial"/>
                <w:color w:val="000000"/>
                <w:sz w:val="16"/>
                <w:szCs w:val="16"/>
              </w:rPr>
              <w:t xml:space="preserve"> y Correo Electrónico*</w:t>
            </w:r>
          </w:p>
        </w:tc>
      </w:tr>
      <w:tr w:rsidR="00E93440" w:rsidRPr="003C75B4" w14:paraId="438115B0" w14:textId="77777777" w:rsidTr="002B4273">
        <w:trPr>
          <w:trHeight w:val="17"/>
        </w:trPr>
        <w:tc>
          <w:tcPr>
            <w:tcW w:w="566" w:type="dxa"/>
            <w:tcMar>
              <w:top w:w="57" w:type="dxa"/>
              <w:left w:w="113" w:type="dxa"/>
              <w:bottom w:w="57" w:type="dxa"/>
            </w:tcMar>
            <w:vAlign w:val="center"/>
          </w:tcPr>
          <w:p w14:paraId="1507C3F7" w14:textId="11855532"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65F5A788" w14:textId="2AB5CE36" w:rsidR="00E93440" w:rsidRPr="003C75B4" w:rsidRDefault="003C75B4" w:rsidP="00C33928">
            <w:pPr>
              <w:jc w:val="center"/>
              <w:rPr>
                <w:rFonts w:ascii="Verdana" w:hAnsi="Verdana" w:cs="Arial"/>
                <w:color w:val="000000"/>
                <w:sz w:val="16"/>
                <w:szCs w:val="16"/>
              </w:rPr>
            </w:pPr>
            <w:r w:rsidRPr="003C75B4">
              <w:rPr>
                <w:rFonts w:ascii="Verdana" w:hAnsi="Verdana" w:cs="Arial"/>
                <w:color w:val="000000"/>
                <w:sz w:val="16"/>
                <w:szCs w:val="16"/>
              </w:rPr>
              <w:t>(H) Realizar el seguimiento a las recomendaciones y compromisos que se generen en la reunión de la CIC, así como los temas que a nivel intersectorial proponga la CIC y sus grupos técnicos de trabajo.</w:t>
            </w:r>
          </w:p>
        </w:tc>
        <w:tc>
          <w:tcPr>
            <w:tcW w:w="2126" w:type="dxa"/>
            <w:tcMar>
              <w:top w:w="57" w:type="dxa"/>
              <w:left w:w="113" w:type="dxa"/>
              <w:bottom w:w="57" w:type="dxa"/>
            </w:tcMar>
            <w:vAlign w:val="center"/>
          </w:tcPr>
          <w:p w14:paraId="1C28ED37" w14:textId="5ABC77E3" w:rsidR="00E93440" w:rsidRPr="003C75B4" w:rsidRDefault="003C75B4" w:rsidP="003033FD">
            <w:pPr>
              <w:spacing w:after="0" w:line="240" w:lineRule="auto"/>
              <w:rPr>
                <w:rFonts w:ascii="Verdana" w:hAnsi="Verdana" w:cs="Arial"/>
                <w:sz w:val="16"/>
                <w:szCs w:val="16"/>
              </w:rPr>
            </w:pPr>
            <w:r w:rsidRPr="003C75B4">
              <w:rPr>
                <w:rFonts w:ascii="Verdana" w:hAnsi="Verdana" w:cs="Arial"/>
                <w:color w:val="000000"/>
                <w:sz w:val="16"/>
                <w:szCs w:val="16"/>
              </w:rPr>
              <w:t>Director(a) de Regulación, Asesor, Profesional(es)</w:t>
            </w:r>
          </w:p>
        </w:tc>
        <w:tc>
          <w:tcPr>
            <w:tcW w:w="4661" w:type="dxa"/>
            <w:tcMar>
              <w:top w:w="57" w:type="dxa"/>
              <w:left w:w="113" w:type="dxa"/>
              <w:bottom w:w="57" w:type="dxa"/>
            </w:tcMar>
          </w:tcPr>
          <w:p w14:paraId="69212487" w14:textId="5E125817" w:rsidR="00E93440" w:rsidRPr="003C75B4" w:rsidRDefault="003C75B4" w:rsidP="003033FD">
            <w:pPr>
              <w:spacing w:after="0" w:line="240" w:lineRule="auto"/>
              <w:jc w:val="both"/>
              <w:rPr>
                <w:rFonts w:ascii="Verdana" w:hAnsi="Verdana" w:cs="Arial"/>
                <w:sz w:val="16"/>
                <w:szCs w:val="16"/>
              </w:rPr>
            </w:pPr>
            <w:r w:rsidRPr="003C75B4">
              <w:rPr>
                <w:rFonts w:ascii="Verdana" w:hAnsi="Verdana" w:cs="Arial"/>
                <w:color w:val="000000"/>
                <w:sz w:val="16"/>
                <w:szCs w:val="16"/>
              </w:rPr>
              <w:t>Cuando se considere necesario se remite correo electrónico a las entidades recordando los compromisos adquiridos en la reunión de la CIC.</w:t>
            </w:r>
          </w:p>
        </w:tc>
        <w:tc>
          <w:tcPr>
            <w:tcW w:w="1576" w:type="dxa"/>
            <w:tcMar>
              <w:top w:w="57" w:type="dxa"/>
              <w:left w:w="113" w:type="dxa"/>
              <w:bottom w:w="57" w:type="dxa"/>
            </w:tcMar>
            <w:vAlign w:val="center"/>
          </w:tcPr>
          <w:p w14:paraId="37834F2C" w14:textId="4510FD2F" w:rsidR="00E93440" w:rsidRPr="003C75B4" w:rsidRDefault="003C75B4" w:rsidP="003033FD">
            <w:pPr>
              <w:spacing w:after="0" w:line="240" w:lineRule="auto"/>
              <w:jc w:val="center"/>
              <w:rPr>
                <w:rFonts w:ascii="Verdana" w:hAnsi="Verdana" w:cs="Arial"/>
                <w:sz w:val="16"/>
                <w:szCs w:val="16"/>
              </w:rPr>
            </w:pPr>
            <w:r w:rsidRPr="003C75B4">
              <w:rPr>
                <w:rFonts w:ascii="Verdana" w:hAnsi="Verdana" w:cs="Arial"/>
                <w:color w:val="000000"/>
                <w:sz w:val="16"/>
                <w:szCs w:val="16"/>
              </w:rPr>
              <w:t xml:space="preserve">Correo Electrónico* Registros, </w:t>
            </w:r>
            <w:r w:rsidR="00DF3757" w:rsidRPr="003C75B4">
              <w:rPr>
                <w:rFonts w:ascii="Verdana" w:hAnsi="Verdana" w:cs="Arial"/>
                <w:color w:val="000000"/>
                <w:sz w:val="16"/>
                <w:szCs w:val="16"/>
              </w:rPr>
              <w:t>Acta</w:t>
            </w:r>
            <w:r w:rsidR="00DF3757">
              <w:rPr>
                <w:rFonts w:ascii="Verdana" w:hAnsi="Verdana" w:cs="Arial"/>
                <w:color w:val="000000"/>
                <w:sz w:val="16"/>
                <w:szCs w:val="16"/>
              </w:rPr>
              <w:t xml:space="preserve"> (</w:t>
            </w:r>
            <w:r w:rsidR="00DF3757" w:rsidRPr="001D7444">
              <w:rPr>
                <w:rFonts w:ascii="Verdana" w:hAnsi="Verdana" w:cs="Arial"/>
                <w:color w:val="000000"/>
                <w:sz w:val="16"/>
                <w:szCs w:val="16"/>
              </w:rPr>
              <w:t>GD-FM-001</w:t>
            </w:r>
            <w:r w:rsidR="00DF3757">
              <w:rPr>
                <w:rFonts w:ascii="Verdana" w:hAnsi="Verdana" w:cs="Arial"/>
                <w:color w:val="000000"/>
                <w:sz w:val="16"/>
                <w:szCs w:val="16"/>
              </w:rPr>
              <w:t>)</w:t>
            </w:r>
            <w:r w:rsidR="00DF3757" w:rsidRPr="003C75B4">
              <w:rPr>
                <w:rFonts w:ascii="Verdana" w:hAnsi="Verdana" w:cs="Arial"/>
                <w:color w:val="000000"/>
                <w:sz w:val="16"/>
                <w:szCs w:val="16"/>
              </w:rPr>
              <w:t xml:space="preserve"> y Registro de Asistencia</w:t>
            </w:r>
            <w:r w:rsidR="00DF3757">
              <w:rPr>
                <w:rFonts w:ascii="Verdana" w:hAnsi="Verdana" w:cs="Arial"/>
                <w:color w:val="000000"/>
                <w:sz w:val="16"/>
                <w:szCs w:val="16"/>
              </w:rPr>
              <w:t xml:space="preserve"> (</w:t>
            </w:r>
            <w:r w:rsidR="00DF3757" w:rsidRPr="001D7444">
              <w:rPr>
                <w:rFonts w:ascii="Verdana" w:hAnsi="Verdana" w:cs="Arial"/>
                <w:color w:val="000000"/>
                <w:sz w:val="16"/>
                <w:szCs w:val="16"/>
              </w:rPr>
              <w:t>GD-FM-0</w:t>
            </w:r>
            <w:r w:rsidR="00DF3757">
              <w:rPr>
                <w:rFonts w:ascii="Verdana" w:hAnsi="Verdana" w:cs="Arial"/>
                <w:color w:val="000000"/>
                <w:sz w:val="16"/>
                <w:szCs w:val="16"/>
              </w:rPr>
              <w:t>04)</w:t>
            </w:r>
            <w:r w:rsidR="00DF3757" w:rsidRPr="003C75B4">
              <w:rPr>
                <w:rFonts w:ascii="Verdana" w:hAnsi="Verdana" w:cs="Arial"/>
                <w:color w:val="000000"/>
                <w:sz w:val="16"/>
                <w:szCs w:val="16"/>
              </w:rPr>
              <w:t>.</w:t>
            </w:r>
          </w:p>
        </w:tc>
      </w:tr>
      <w:tr w:rsidR="00C77DA4" w:rsidRPr="003C75B4" w14:paraId="59279DBD" w14:textId="77777777" w:rsidTr="002B4273">
        <w:trPr>
          <w:trHeight w:val="17"/>
        </w:trPr>
        <w:tc>
          <w:tcPr>
            <w:tcW w:w="566" w:type="dxa"/>
            <w:tcMar>
              <w:top w:w="57" w:type="dxa"/>
              <w:left w:w="113" w:type="dxa"/>
              <w:bottom w:w="57" w:type="dxa"/>
            </w:tcMar>
            <w:vAlign w:val="center"/>
          </w:tcPr>
          <w:p w14:paraId="17AC68B4" w14:textId="7C1E0D70"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4C3991DD" w14:textId="4D76B8E6" w:rsidR="00C77DA4" w:rsidRPr="003C75B4" w:rsidRDefault="003C75B4" w:rsidP="007341F5">
            <w:pPr>
              <w:spacing w:after="0" w:line="240" w:lineRule="auto"/>
              <w:jc w:val="center"/>
              <w:rPr>
                <w:rFonts w:ascii="Verdana" w:hAnsi="Verdana" w:cs="Arial"/>
                <w:sz w:val="16"/>
                <w:szCs w:val="16"/>
              </w:rPr>
            </w:pPr>
            <w:r w:rsidRPr="003C75B4">
              <w:rPr>
                <w:rFonts w:ascii="Verdana" w:hAnsi="Verdana" w:cs="Arial"/>
                <w:color w:val="000000"/>
                <w:sz w:val="16"/>
                <w:szCs w:val="16"/>
              </w:rPr>
              <w:t>(V) Verificar el avance o cumplimiento de las recomendaciones acordadas en la CIC.</w:t>
            </w:r>
          </w:p>
        </w:tc>
        <w:tc>
          <w:tcPr>
            <w:tcW w:w="2126" w:type="dxa"/>
            <w:tcMar>
              <w:top w:w="57" w:type="dxa"/>
              <w:left w:w="113" w:type="dxa"/>
              <w:bottom w:w="57" w:type="dxa"/>
            </w:tcMar>
            <w:vAlign w:val="center"/>
          </w:tcPr>
          <w:p w14:paraId="579DA845" w14:textId="5BCFE3BD" w:rsidR="00C77DA4" w:rsidRPr="003C75B4" w:rsidRDefault="003C75B4" w:rsidP="003033FD">
            <w:pPr>
              <w:spacing w:after="0" w:line="240" w:lineRule="auto"/>
              <w:rPr>
                <w:rFonts w:ascii="Verdana" w:hAnsi="Verdana" w:cs="Arial"/>
                <w:sz w:val="16"/>
                <w:szCs w:val="16"/>
              </w:rPr>
            </w:pPr>
            <w:r w:rsidRPr="003C75B4">
              <w:rPr>
                <w:rFonts w:ascii="Verdana" w:hAnsi="Verdana" w:cs="Arial"/>
                <w:color w:val="000000"/>
                <w:sz w:val="16"/>
                <w:szCs w:val="16"/>
              </w:rPr>
              <w:t>Director(a) de Regulación</w:t>
            </w:r>
          </w:p>
        </w:tc>
        <w:tc>
          <w:tcPr>
            <w:tcW w:w="4661" w:type="dxa"/>
            <w:tcMar>
              <w:top w:w="57" w:type="dxa"/>
              <w:left w:w="113" w:type="dxa"/>
              <w:bottom w:w="57" w:type="dxa"/>
            </w:tcMar>
          </w:tcPr>
          <w:p w14:paraId="50E0F9BB" w14:textId="77777777" w:rsidR="00C77DA4" w:rsidRPr="003C75B4" w:rsidRDefault="003C75B4" w:rsidP="003033FD">
            <w:pPr>
              <w:spacing w:after="0" w:line="240" w:lineRule="auto"/>
              <w:jc w:val="both"/>
              <w:rPr>
                <w:rFonts w:ascii="Verdana" w:hAnsi="Verdana" w:cs="Arial"/>
                <w:color w:val="000000"/>
                <w:sz w:val="16"/>
                <w:szCs w:val="16"/>
              </w:rPr>
            </w:pPr>
            <w:r w:rsidRPr="003C75B4">
              <w:rPr>
                <w:rFonts w:ascii="Verdana" w:hAnsi="Verdana" w:cs="Arial"/>
                <w:color w:val="000000"/>
                <w:sz w:val="16"/>
                <w:szCs w:val="16"/>
              </w:rPr>
              <w:t>Director(a) de Regulación</w:t>
            </w:r>
          </w:p>
          <w:p w14:paraId="6D6D155F" w14:textId="77777777" w:rsidR="003C75B4" w:rsidRPr="003C75B4" w:rsidRDefault="003C75B4" w:rsidP="003033FD">
            <w:pPr>
              <w:spacing w:after="0" w:line="240" w:lineRule="auto"/>
              <w:jc w:val="both"/>
              <w:rPr>
                <w:rFonts w:ascii="Verdana" w:hAnsi="Verdana" w:cs="Arial"/>
                <w:b/>
                <w:color w:val="000000"/>
                <w:sz w:val="16"/>
                <w:szCs w:val="16"/>
              </w:rPr>
            </w:pPr>
          </w:p>
          <w:p w14:paraId="564D48DD" w14:textId="1E9766B7" w:rsidR="003C75B4" w:rsidRPr="003C75B4" w:rsidRDefault="003C75B4" w:rsidP="003033FD">
            <w:pPr>
              <w:spacing w:after="0" w:line="240" w:lineRule="auto"/>
              <w:jc w:val="both"/>
              <w:rPr>
                <w:rFonts w:ascii="Verdana" w:hAnsi="Verdana" w:cs="Arial"/>
                <w:sz w:val="16"/>
                <w:szCs w:val="16"/>
              </w:rPr>
            </w:pPr>
            <w:r w:rsidRPr="003C75B4">
              <w:rPr>
                <w:rFonts w:ascii="Verdana" w:hAnsi="Verdana" w:cs="Arial"/>
                <w:b/>
                <w:color w:val="000000"/>
                <w:sz w:val="16"/>
                <w:szCs w:val="16"/>
              </w:rPr>
              <w:t>Control DE-R1</w:t>
            </w:r>
          </w:p>
        </w:tc>
        <w:tc>
          <w:tcPr>
            <w:tcW w:w="1576" w:type="dxa"/>
            <w:tcMar>
              <w:top w:w="57" w:type="dxa"/>
              <w:left w:w="113" w:type="dxa"/>
              <w:bottom w:w="57" w:type="dxa"/>
            </w:tcMar>
            <w:vAlign w:val="center"/>
          </w:tcPr>
          <w:p w14:paraId="6DF13267" w14:textId="28A8FEEE" w:rsidR="00C77DA4" w:rsidRPr="003C75B4" w:rsidRDefault="003C75B4" w:rsidP="003033FD">
            <w:pPr>
              <w:spacing w:after="0" w:line="240" w:lineRule="auto"/>
              <w:jc w:val="center"/>
              <w:rPr>
                <w:rFonts w:ascii="Verdana" w:hAnsi="Verdana" w:cs="Arial"/>
                <w:sz w:val="16"/>
                <w:szCs w:val="16"/>
              </w:rPr>
            </w:pPr>
            <w:r w:rsidRPr="003C75B4">
              <w:rPr>
                <w:rFonts w:ascii="Verdana" w:hAnsi="Verdana" w:cs="Arial"/>
                <w:color w:val="000000"/>
                <w:sz w:val="16"/>
                <w:szCs w:val="16"/>
              </w:rPr>
              <w:t>Correo electrónico*</w:t>
            </w:r>
          </w:p>
        </w:tc>
      </w:tr>
      <w:tr w:rsidR="00C77DA4" w:rsidRPr="003C75B4" w14:paraId="5E8EAD9C" w14:textId="77777777" w:rsidTr="002B4273">
        <w:trPr>
          <w:trHeight w:val="17"/>
        </w:trPr>
        <w:tc>
          <w:tcPr>
            <w:tcW w:w="566" w:type="dxa"/>
            <w:tcMar>
              <w:top w:w="57" w:type="dxa"/>
              <w:left w:w="113" w:type="dxa"/>
              <w:bottom w:w="57" w:type="dxa"/>
            </w:tcMar>
            <w:vAlign w:val="center"/>
          </w:tcPr>
          <w:p w14:paraId="1E827C8F" w14:textId="36FE9848"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EF13179" w14:textId="16CD36A1" w:rsidR="00C77DA4" w:rsidRPr="003C75B4" w:rsidRDefault="003C75B4" w:rsidP="007341F5">
            <w:pPr>
              <w:spacing w:after="0" w:line="240" w:lineRule="auto"/>
              <w:jc w:val="center"/>
              <w:rPr>
                <w:rFonts w:ascii="Verdana" w:hAnsi="Verdana" w:cs="Arial"/>
                <w:sz w:val="16"/>
                <w:szCs w:val="16"/>
              </w:rPr>
            </w:pPr>
            <w:r w:rsidRPr="003C75B4">
              <w:rPr>
                <w:rFonts w:ascii="Verdana" w:hAnsi="Verdana" w:cs="Arial"/>
                <w:color w:val="000000"/>
                <w:sz w:val="16"/>
                <w:szCs w:val="16"/>
              </w:rPr>
              <w:t>(A) Establecer las acciones necesarias para el mejoramiento continuo del proceso.</w:t>
            </w:r>
          </w:p>
        </w:tc>
        <w:tc>
          <w:tcPr>
            <w:tcW w:w="2126" w:type="dxa"/>
            <w:tcMar>
              <w:top w:w="57" w:type="dxa"/>
              <w:left w:w="113" w:type="dxa"/>
              <w:bottom w:w="57" w:type="dxa"/>
            </w:tcMar>
            <w:vAlign w:val="center"/>
          </w:tcPr>
          <w:p w14:paraId="5603B949" w14:textId="7A0E4455" w:rsidR="00C77DA4" w:rsidRPr="003C75B4" w:rsidRDefault="003C75B4" w:rsidP="003033FD">
            <w:pPr>
              <w:spacing w:after="0" w:line="240" w:lineRule="auto"/>
              <w:rPr>
                <w:rFonts w:ascii="Verdana" w:hAnsi="Verdana" w:cs="Arial"/>
                <w:sz w:val="16"/>
                <w:szCs w:val="16"/>
              </w:rPr>
            </w:pPr>
            <w:r w:rsidRPr="003C75B4">
              <w:rPr>
                <w:rFonts w:ascii="Verdana" w:hAnsi="Verdana" w:cs="Arial"/>
                <w:color w:val="000000"/>
                <w:sz w:val="16"/>
                <w:szCs w:val="16"/>
              </w:rPr>
              <w:t>Director(a) de Regulación, Profesional Universitario</w:t>
            </w:r>
          </w:p>
        </w:tc>
        <w:tc>
          <w:tcPr>
            <w:tcW w:w="4661" w:type="dxa"/>
            <w:tcMar>
              <w:top w:w="57" w:type="dxa"/>
              <w:left w:w="113" w:type="dxa"/>
              <w:bottom w:w="57" w:type="dxa"/>
            </w:tcMar>
          </w:tcPr>
          <w:p w14:paraId="67E8068D" w14:textId="206D0582" w:rsidR="00C77DA4" w:rsidRPr="003C75B4" w:rsidRDefault="003C75B4" w:rsidP="003033FD">
            <w:pPr>
              <w:spacing w:after="0" w:line="240" w:lineRule="auto"/>
              <w:jc w:val="both"/>
              <w:rPr>
                <w:rFonts w:ascii="Verdana" w:hAnsi="Verdana" w:cs="Arial"/>
                <w:sz w:val="16"/>
                <w:szCs w:val="16"/>
              </w:rPr>
            </w:pPr>
            <w:r w:rsidRPr="003C75B4">
              <w:rPr>
                <w:rFonts w:ascii="Verdana" w:hAnsi="Verdana" w:cs="Arial"/>
                <w:color w:val="000000"/>
                <w:sz w:val="16"/>
                <w:szCs w:val="16"/>
              </w:rPr>
              <w:t>Las acciones de mejora se realizan de acuerdo con los lineamientos establecidos en el procedimiento "Gestión de no conformidades y oportunidades de mejora".</w:t>
            </w:r>
          </w:p>
        </w:tc>
        <w:tc>
          <w:tcPr>
            <w:tcW w:w="1576" w:type="dxa"/>
            <w:tcMar>
              <w:top w:w="57" w:type="dxa"/>
              <w:left w:w="113" w:type="dxa"/>
              <w:bottom w:w="57" w:type="dxa"/>
            </w:tcMar>
            <w:vAlign w:val="center"/>
          </w:tcPr>
          <w:p w14:paraId="4B5031AE" w14:textId="31E146EA" w:rsidR="00C77DA4" w:rsidRPr="003C75B4" w:rsidRDefault="003C75B4" w:rsidP="003033FD">
            <w:pPr>
              <w:spacing w:after="0" w:line="240" w:lineRule="auto"/>
              <w:jc w:val="center"/>
              <w:rPr>
                <w:rFonts w:ascii="Verdana" w:hAnsi="Verdana" w:cs="Arial"/>
                <w:sz w:val="16"/>
                <w:szCs w:val="16"/>
              </w:rPr>
            </w:pPr>
            <w:r w:rsidRPr="003C75B4">
              <w:rPr>
                <w:rFonts w:ascii="Verdana" w:hAnsi="Verdana" w:cs="Arial"/>
                <w:color w:val="000000"/>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7B641402" w:rsidR="001D0B5F" w:rsidRPr="00511297" w:rsidRDefault="009B718F" w:rsidP="00666AB9">
            <w:pPr>
              <w:spacing w:after="0" w:line="240" w:lineRule="auto"/>
              <w:jc w:val="center"/>
              <w:rPr>
                <w:rFonts w:ascii="Verdana" w:eastAsia="Arial" w:hAnsi="Verdana" w:cs="Arial"/>
                <w:color w:val="000000" w:themeColor="text1"/>
                <w:sz w:val="16"/>
                <w:szCs w:val="16"/>
              </w:rPr>
            </w:pPr>
            <w:r w:rsidRPr="00511297">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6F9BC5" w14:textId="098C4D10" w:rsidR="001D0B5F" w:rsidRPr="00511297" w:rsidRDefault="000F04B7" w:rsidP="00E031E5">
            <w:pPr>
              <w:spacing w:after="0" w:line="240" w:lineRule="auto"/>
              <w:rPr>
                <w:rFonts w:ascii="Verdana" w:eastAsia="Arial" w:hAnsi="Verdana" w:cs="Arial"/>
                <w:color w:val="000000" w:themeColor="text1"/>
                <w:sz w:val="16"/>
                <w:szCs w:val="16"/>
              </w:rPr>
            </w:pPr>
            <w:r w:rsidRPr="00511297">
              <w:rPr>
                <w:rFonts w:ascii="Verdana" w:hAnsi="Verdana" w:cs="Arial"/>
                <w:color w:val="000000"/>
                <w:sz w:val="16"/>
                <w:szCs w:val="16"/>
              </w:rPr>
              <w:t>Correo Electrónico</w:t>
            </w:r>
          </w:p>
        </w:tc>
      </w:tr>
      <w:tr w:rsidR="001D0B5F" w:rsidRPr="00666AB9" w14:paraId="4E7D6172" w14:textId="77777777" w:rsidTr="001D0B5F">
        <w:trPr>
          <w:trHeight w:val="117"/>
        </w:trPr>
        <w:tc>
          <w:tcPr>
            <w:tcW w:w="960" w:type="dxa"/>
            <w:tcMar>
              <w:top w:w="30" w:type="dxa"/>
              <w:left w:w="30" w:type="dxa"/>
              <w:bottom w:w="30" w:type="dxa"/>
              <w:right w:w="30" w:type="dxa"/>
            </w:tcMar>
            <w:vAlign w:val="center"/>
          </w:tcPr>
          <w:p w14:paraId="231A4A04" w14:textId="77955EBD"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42965165" w14:textId="752CE138" w:rsidR="001D0B5F" w:rsidRPr="009B718F" w:rsidRDefault="009B718F" w:rsidP="00666AB9">
            <w:pPr>
              <w:spacing w:after="0" w:line="240" w:lineRule="auto"/>
              <w:jc w:val="center"/>
              <w:rPr>
                <w:rFonts w:ascii="Verdana" w:eastAsia="Arial" w:hAnsi="Verdana" w:cs="Arial"/>
                <w:color w:val="000000" w:themeColor="text1"/>
                <w:sz w:val="16"/>
                <w:szCs w:val="16"/>
              </w:rPr>
            </w:pPr>
            <w:r w:rsidRPr="009B718F">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BBD76A5" w14:textId="0AED03A2" w:rsidR="001D0B5F" w:rsidRPr="00511297" w:rsidRDefault="000F04B7" w:rsidP="00E031E5">
            <w:pPr>
              <w:spacing w:after="0" w:line="240" w:lineRule="auto"/>
              <w:rPr>
                <w:rFonts w:ascii="Verdana" w:eastAsia="Arial" w:hAnsi="Verdana" w:cs="Arial"/>
                <w:color w:val="000000" w:themeColor="text1"/>
                <w:sz w:val="16"/>
                <w:szCs w:val="16"/>
              </w:rPr>
            </w:pPr>
            <w:r w:rsidRPr="00511297">
              <w:rPr>
                <w:rFonts w:ascii="Verdana" w:eastAsia="Arial" w:hAnsi="Verdana" w:cs="Arial"/>
                <w:color w:val="000000" w:themeColor="text1"/>
                <w:sz w:val="16"/>
                <w:szCs w:val="16"/>
              </w:rPr>
              <w:t>Oficio</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3860684E"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vAlign w:val="center"/>
          </w:tcPr>
          <w:p w14:paraId="331F7FC1" w14:textId="5D4E0D5D" w:rsidR="001D0B5F" w:rsidRPr="009B718F" w:rsidRDefault="00511297" w:rsidP="00666AB9">
            <w:pPr>
              <w:spacing w:after="0" w:line="240" w:lineRule="auto"/>
              <w:jc w:val="center"/>
              <w:rPr>
                <w:rFonts w:ascii="Verdana" w:eastAsia="Arial" w:hAnsi="Verdana" w:cs="Arial"/>
                <w:color w:val="000000" w:themeColor="text1"/>
                <w:sz w:val="16"/>
                <w:szCs w:val="16"/>
              </w:rPr>
            </w:pPr>
            <w:r w:rsidRPr="00511297">
              <w:rPr>
                <w:rFonts w:ascii="Verdana" w:eastAsia="Arial" w:hAnsi="Verdana" w:cs="Arial"/>
                <w:color w:val="000000" w:themeColor="text1"/>
                <w:sz w:val="16"/>
                <w:szCs w:val="16"/>
              </w:rPr>
              <w:t>GD-FM-001</w:t>
            </w:r>
          </w:p>
        </w:tc>
        <w:tc>
          <w:tcPr>
            <w:tcW w:w="7075" w:type="dxa"/>
            <w:tcMar>
              <w:top w:w="30" w:type="dxa"/>
              <w:left w:w="30" w:type="dxa"/>
              <w:bottom w:w="30" w:type="dxa"/>
              <w:right w:w="30" w:type="dxa"/>
            </w:tcMar>
            <w:vAlign w:val="center"/>
          </w:tcPr>
          <w:p w14:paraId="5A74CE6D" w14:textId="0F78DC38" w:rsidR="009D07CF" w:rsidRPr="00511297" w:rsidRDefault="000F04B7" w:rsidP="00E031E5">
            <w:pPr>
              <w:spacing w:after="0" w:line="240" w:lineRule="auto"/>
              <w:rPr>
                <w:rFonts w:ascii="Verdana" w:eastAsia="Arial" w:hAnsi="Verdana" w:cs="Arial"/>
                <w:color w:val="000000" w:themeColor="text1"/>
                <w:sz w:val="16"/>
                <w:szCs w:val="16"/>
              </w:rPr>
            </w:pPr>
            <w:r w:rsidRPr="00511297">
              <w:rPr>
                <w:rFonts w:ascii="Verdana" w:eastAsia="Arial" w:hAnsi="Verdana" w:cs="Arial"/>
                <w:color w:val="000000" w:themeColor="text1"/>
                <w:sz w:val="16"/>
                <w:szCs w:val="16"/>
              </w:rPr>
              <w:t>Acta</w:t>
            </w:r>
          </w:p>
        </w:tc>
      </w:tr>
      <w:tr w:rsidR="001D0B5F" w:rsidRPr="00666AB9" w14:paraId="022C69D5" w14:textId="77777777" w:rsidTr="001D0B5F">
        <w:trPr>
          <w:trHeight w:val="117"/>
        </w:trPr>
        <w:tc>
          <w:tcPr>
            <w:tcW w:w="960" w:type="dxa"/>
            <w:tcMar>
              <w:top w:w="30" w:type="dxa"/>
              <w:left w:w="30" w:type="dxa"/>
              <w:bottom w:w="30" w:type="dxa"/>
              <w:right w:w="30" w:type="dxa"/>
            </w:tcMar>
            <w:vAlign w:val="center"/>
          </w:tcPr>
          <w:p w14:paraId="780D55A8" w14:textId="658E44B0"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vAlign w:val="center"/>
          </w:tcPr>
          <w:p w14:paraId="329C0492" w14:textId="0CB637F4" w:rsidR="001D0B5F" w:rsidRPr="009B718F" w:rsidRDefault="00511297" w:rsidP="00666AB9">
            <w:pPr>
              <w:spacing w:after="0" w:line="240" w:lineRule="auto"/>
              <w:jc w:val="center"/>
              <w:rPr>
                <w:rFonts w:ascii="Verdana" w:eastAsia="Arial" w:hAnsi="Verdana" w:cs="Arial"/>
                <w:color w:val="000000" w:themeColor="text1"/>
                <w:sz w:val="16"/>
                <w:szCs w:val="16"/>
              </w:rPr>
            </w:pPr>
            <w:r w:rsidRPr="00511297">
              <w:rPr>
                <w:rFonts w:ascii="Verdana" w:eastAsia="Arial" w:hAnsi="Verdana" w:cs="Arial"/>
                <w:color w:val="000000" w:themeColor="text1"/>
                <w:sz w:val="16"/>
                <w:szCs w:val="16"/>
              </w:rPr>
              <w:t>GD-FM-004</w:t>
            </w:r>
          </w:p>
        </w:tc>
        <w:tc>
          <w:tcPr>
            <w:tcW w:w="7075" w:type="dxa"/>
            <w:tcMar>
              <w:top w:w="30" w:type="dxa"/>
              <w:left w:w="30" w:type="dxa"/>
              <w:bottom w:w="30" w:type="dxa"/>
              <w:right w:w="30" w:type="dxa"/>
            </w:tcMar>
            <w:vAlign w:val="center"/>
          </w:tcPr>
          <w:p w14:paraId="2668164E" w14:textId="557BA8B6" w:rsidR="001D0B5F" w:rsidRPr="00511297" w:rsidRDefault="000F04B7" w:rsidP="00E031E5">
            <w:pPr>
              <w:spacing w:after="0" w:line="240" w:lineRule="auto"/>
              <w:rPr>
                <w:rFonts w:ascii="Verdana" w:eastAsia="Arial" w:hAnsi="Verdana" w:cs="Arial"/>
                <w:color w:val="000000" w:themeColor="text1"/>
                <w:sz w:val="16"/>
                <w:szCs w:val="16"/>
              </w:rPr>
            </w:pPr>
            <w:r w:rsidRPr="00511297">
              <w:rPr>
                <w:rFonts w:ascii="Verdana" w:eastAsia="Arial" w:hAnsi="Verdana" w:cs="Arial"/>
                <w:color w:val="000000" w:themeColor="text1"/>
                <w:sz w:val="16"/>
                <w:szCs w:val="16"/>
              </w:rPr>
              <w:t>Registro de asistencia</w:t>
            </w:r>
          </w:p>
        </w:tc>
      </w:tr>
      <w:tr w:rsidR="001D0B5F" w:rsidRPr="00666AB9" w14:paraId="1C9C87F8" w14:textId="77777777" w:rsidTr="001D0B5F">
        <w:trPr>
          <w:trHeight w:val="117"/>
        </w:trPr>
        <w:tc>
          <w:tcPr>
            <w:tcW w:w="960" w:type="dxa"/>
            <w:tcMar>
              <w:top w:w="30" w:type="dxa"/>
              <w:left w:w="30" w:type="dxa"/>
              <w:bottom w:w="30" w:type="dxa"/>
              <w:right w:w="30" w:type="dxa"/>
            </w:tcMar>
            <w:vAlign w:val="center"/>
          </w:tcPr>
          <w:p w14:paraId="6E20B3BB" w14:textId="1DEDF14D"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vAlign w:val="center"/>
          </w:tcPr>
          <w:p w14:paraId="779C0929" w14:textId="20BF821C" w:rsidR="001D0B5F" w:rsidRPr="009B718F" w:rsidRDefault="009B718F" w:rsidP="00666AB9">
            <w:pPr>
              <w:spacing w:after="0" w:line="240" w:lineRule="auto"/>
              <w:jc w:val="center"/>
              <w:rPr>
                <w:rFonts w:ascii="Verdana" w:eastAsia="Arial" w:hAnsi="Verdana" w:cs="Arial"/>
                <w:color w:val="000000" w:themeColor="text1"/>
                <w:sz w:val="16"/>
                <w:szCs w:val="16"/>
              </w:rPr>
            </w:pPr>
            <w:r w:rsidRPr="009B718F">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6B90F79F" w:rsidR="001D0B5F" w:rsidRPr="00511297" w:rsidRDefault="000F04B7" w:rsidP="00E031E5">
            <w:pPr>
              <w:spacing w:after="0" w:line="240" w:lineRule="auto"/>
              <w:rPr>
                <w:rFonts w:ascii="Verdana" w:eastAsia="Arial" w:hAnsi="Verdana" w:cs="Arial"/>
                <w:color w:val="000000" w:themeColor="text1"/>
                <w:sz w:val="16"/>
                <w:szCs w:val="16"/>
              </w:rPr>
            </w:pPr>
            <w:r w:rsidRPr="00511297">
              <w:rPr>
                <w:rFonts w:ascii="Verdana" w:hAnsi="Verdana" w:cs="Arial"/>
                <w:color w:val="000000"/>
                <w:sz w:val="16"/>
                <w:szCs w:val="16"/>
              </w:rPr>
              <w:t>Documentos Soporte</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2E1E000D" w:rsidR="00EA0826" w:rsidRPr="00666AB9" w:rsidRDefault="00882C53"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Pr="00FD0F4C"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w:t>
            </w:r>
            <w:r w:rsidRPr="00FD0F4C">
              <w:rPr>
                <w:rFonts w:ascii="Verdana" w:hAnsi="Verdana" w:cs="Arial"/>
                <w:sz w:val="16"/>
                <w:szCs w:val="16"/>
              </w:rPr>
              <w:t xml:space="preserve"> para el nuevo mapa de procesos.</w:t>
            </w:r>
          </w:p>
          <w:p w14:paraId="54B0E954" w14:textId="37831FC6" w:rsidR="006F3D2D" w:rsidRDefault="006F3D2D" w:rsidP="003033FD">
            <w:pPr>
              <w:spacing w:after="0" w:line="240" w:lineRule="auto"/>
              <w:jc w:val="both"/>
              <w:rPr>
                <w:rFonts w:ascii="Verdana" w:hAnsi="Verdana" w:cs="Arial"/>
                <w:bCs/>
                <w:color w:val="000000"/>
                <w:sz w:val="16"/>
                <w:szCs w:val="16"/>
              </w:rPr>
            </w:pPr>
            <w:r w:rsidRPr="00FD0F4C">
              <w:rPr>
                <w:rFonts w:ascii="Verdana" w:hAnsi="Verdana" w:cs="Arial"/>
                <w:sz w:val="16"/>
                <w:szCs w:val="16"/>
              </w:rPr>
              <w:t xml:space="preserve">Código anterior: </w:t>
            </w:r>
            <w:r w:rsidR="00FD0F4C" w:rsidRPr="00FD0F4C">
              <w:rPr>
                <w:rFonts w:ascii="Verdana" w:hAnsi="Verdana" w:cs="Arial"/>
                <w:bCs/>
                <w:color w:val="000000"/>
                <w:sz w:val="16"/>
                <w:szCs w:val="16"/>
              </w:rPr>
              <w:t>DM-PR-004</w:t>
            </w:r>
            <w:r w:rsidR="009640DD">
              <w:rPr>
                <w:rFonts w:ascii="Verdana" w:hAnsi="Verdana" w:cs="Arial"/>
                <w:bCs/>
                <w:color w:val="000000"/>
                <w:sz w:val="16"/>
                <w:szCs w:val="16"/>
              </w:rPr>
              <w:t xml:space="preserve"> V6</w:t>
            </w:r>
          </w:p>
          <w:p w14:paraId="2B17FEEA" w14:textId="77777777" w:rsidR="00566E53" w:rsidRDefault="00566E53" w:rsidP="003033FD">
            <w:pPr>
              <w:spacing w:after="0" w:line="240" w:lineRule="auto"/>
              <w:jc w:val="both"/>
              <w:rPr>
                <w:rFonts w:ascii="Verdana" w:hAnsi="Verdana" w:cs="Arial"/>
                <w:bCs/>
                <w:color w:val="000000"/>
                <w:sz w:val="16"/>
                <w:szCs w:val="16"/>
              </w:rPr>
            </w:pPr>
          </w:p>
          <w:p w14:paraId="529B2216" w14:textId="77777777" w:rsidR="00566E53" w:rsidRDefault="00566E53" w:rsidP="00566E53">
            <w:pPr>
              <w:spacing w:after="0" w:line="240" w:lineRule="auto"/>
              <w:jc w:val="both"/>
              <w:rPr>
                <w:rFonts w:ascii="Verdana" w:hAnsi="Verdana" w:cs="Arial"/>
                <w:bCs/>
                <w:color w:val="000000"/>
                <w:sz w:val="16"/>
                <w:szCs w:val="21"/>
              </w:rPr>
            </w:pPr>
            <w:r>
              <w:rPr>
                <w:rFonts w:ascii="Verdana" w:hAnsi="Verdana" w:cs="Arial"/>
                <w:bCs/>
                <w:color w:val="000000"/>
                <w:sz w:val="16"/>
                <w:szCs w:val="21"/>
              </w:rPr>
              <w:lastRenderedPageBreak/>
              <w:t>Para efectos de trazabilidad y soporte de la migración al nuevo aplicativo de administración de la documentación del Modelo Institucional de Operación (MIO), los siguientes fueron los responsables de la revisión y aprobación del documento migrado:</w:t>
            </w:r>
          </w:p>
          <w:p w14:paraId="24777FFC" w14:textId="77777777" w:rsidR="00566E53" w:rsidRDefault="00566E53" w:rsidP="00566E53">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566E53" w14:paraId="4788C32A" w14:textId="77777777" w:rsidTr="00FB4FAF">
              <w:tc>
                <w:tcPr>
                  <w:tcW w:w="3995" w:type="dxa"/>
                </w:tcPr>
                <w:p w14:paraId="17759FCB" w14:textId="77777777" w:rsidR="00566E53" w:rsidRDefault="00566E53" w:rsidP="00566E53">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167FFFE5" w14:textId="77777777" w:rsidR="00566E53" w:rsidRDefault="00566E53" w:rsidP="00566E53">
                  <w:pPr>
                    <w:jc w:val="center"/>
                    <w:rPr>
                      <w:rFonts w:ascii="Verdana" w:hAnsi="Verdana" w:cs="Arial"/>
                      <w:bCs/>
                      <w:color w:val="000000"/>
                      <w:sz w:val="16"/>
                      <w:szCs w:val="21"/>
                    </w:rPr>
                  </w:pPr>
                  <w:r>
                    <w:rPr>
                      <w:rFonts w:ascii="Verdana" w:hAnsi="Verdana" w:cs="Arial"/>
                      <w:bCs/>
                      <w:color w:val="000000"/>
                      <w:sz w:val="16"/>
                      <w:szCs w:val="21"/>
                    </w:rPr>
                    <w:t>APROBÓ</w:t>
                  </w:r>
                </w:p>
              </w:tc>
            </w:tr>
            <w:tr w:rsidR="00566E53" w14:paraId="1DD4AD21" w14:textId="77777777" w:rsidTr="00FB4FAF">
              <w:tc>
                <w:tcPr>
                  <w:tcW w:w="3995" w:type="dxa"/>
                </w:tcPr>
                <w:p w14:paraId="747EC57C" w14:textId="77777777" w:rsidR="005501B7" w:rsidRPr="00E6568B" w:rsidRDefault="005501B7" w:rsidP="00566E53">
                  <w:pPr>
                    <w:jc w:val="both"/>
                    <w:rPr>
                      <w:rFonts w:ascii="Verdana" w:hAnsi="Verdana" w:cs="Arial"/>
                      <w:bCs/>
                      <w:color w:val="000000" w:themeColor="text1"/>
                      <w:sz w:val="16"/>
                      <w:szCs w:val="21"/>
                    </w:rPr>
                  </w:pPr>
                  <w:r w:rsidRPr="00E6568B">
                    <w:rPr>
                      <w:rFonts w:ascii="Verdana" w:hAnsi="Verdana" w:cs="Arial"/>
                      <w:bCs/>
                      <w:color w:val="000000" w:themeColor="text1"/>
                      <w:sz w:val="16"/>
                      <w:szCs w:val="21"/>
                    </w:rPr>
                    <w:t>MARIA LEONISA ORTIZ BOLIVAR</w:t>
                  </w:r>
                </w:p>
                <w:p w14:paraId="540D3EC4" w14:textId="77777777" w:rsidR="00566E53" w:rsidRPr="00E6568B" w:rsidRDefault="00566E53" w:rsidP="00566E53">
                  <w:pPr>
                    <w:jc w:val="both"/>
                    <w:rPr>
                      <w:rFonts w:ascii="Verdana" w:hAnsi="Verdana" w:cs="Arial"/>
                      <w:bCs/>
                      <w:color w:val="000000" w:themeColor="text1"/>
                      <w:sz w:val="16"/>
                      <w:szCs w:val="21"/>
                    </w:rPr>
                  </w:pPr>
                  <w:r w:rsidRPr="00E6568B">
                    <w:rPr>
                      <w:rFonts w:ascii="Verdana" w:hAnsi="Verdana" w:cs="Arial"/>
                      <w:bCs/>
                      <w:color w:val="000000" w:themeColor="text1"/>
                      <w:sz w:val="16"/>
                      <w:szCs w:val="21"/>
                    </w:rPr>
                    <w:t xml:space="preserve">Cargo: </w:t>
                  </w:r>
                  <w:r w:rsidR="005501B7" w:rsidRPr="00E6568B">
                    <w:rPr>
                      <w:rFonts w:ascii="Verdana" w:hAnsi="Verdana" w:cs="Arial"/>
                      <w:bCs/>
                      <w:color w:val="000000" w:themeColor="text1"/>
                      <w:sz w:val="16"/>
                      <w:szCs w:val="21"/>
                    </w:rPr>
                    <w:t>Director de Regulación</w:t>
                  </w:r>
                </w:p>
                <w:p w14:paraId="43B3A9EE" w14:textId="77777777" w:rsidR="005501B7" w:rsidRPr="00E6568B" w:rsidRDefault="005501B7" w:rsidP="00566E53">
                  <w:pPr>
                    <w:jc w:val="both"/>
                    <w:rPr>
                      <w:rFonts w:ascii="Verdana" w:hAnsi="Verdana" w:cs="Arial"/>
                      <w:bCs/>
                      <w:color w:val="000000" w:themeColor="text1"/>
                      <w:sz w:val="16"/>
                      <w:szCs w:val="21"/>
                    </w:rPr>
                  </w:pPr>
                </w:p>
                <w:p w14:paraId="2EB9C884" w14:textId="77777777" w:rsidR="005501B7" w:rsidRPr="00E6568B" w:rsidRDefault="005501B7" w:rsidP="00566E53">
                  <w:pPr>
                    <w:jc w:val="both"/>
                    <w:rPr>
                      <w:rFonts w:ascii="Verdana" w:hAnsi="Verdana" w:cs="Arial"/>
                      <w:bCs/>
                      <w:color w:val="000000" w:themeColor="text1"/>
                      <w:sz w:val="16"/>
                      <w:szCs w:val="21"/>
                    </w:rPr>
                  </w:pPr>
                  <w:r w:rsidRPr="00E6568B">
                    <w:rPr>
                      <w:rFonts w:ascii="Verdana" w:hAnsi="Verdana" w:cs="Arial"/>
                      <w:bCs/>
                      <w:color w:val="000000" w:themeColor="text1"/>
                      <w:sz w:val="16"/>
                      <w:szCs w:val="21"/>
                    </w:rPr>
                    <w:t>ALEJANDRO TORRES PERICO</w:t>
                  </w:r>
                </w:p>
                <w:p w14:paraId="6A703F02" w14:textId="5169DCA3" w:rsidR="005501B7" w:rsidRPr="00E6568B" w:rsidRDefault="005501B7" w:rsidP="00566E53">
                  <w:pPr>
                    <w:jc w:val="both"/>
                    <w:rPr>
                      <w:rFonts w:ascii="Verdana" w:hAnsi="Verdana" w:cs="Arial"/>
                      <w:bCs/>
                      <w:color w:val="000000" w:themeColor="text1"/>
                      <w:sz w:val="16"/>
                      <w:szCs w:val="21"/>
                    </w:rPr>
                  </w:pPr>
                  <w:r w:rsidRPr="00E6568B">
                    <w:rPr>
                      <w:rFonts w:ascii="Verdana" w:hAnsi="Verdana" w:cs="Arial"/>
                      <w:bCs/>
                      <w:color w:val="000000" w:themeColor="text1"/>
                      <w:sz w:val="16"/>
                      <w:szCs w:val="21"/>
                    </w:rPr>
                    <w:t xml:space="preserve">Cargo: </w:t>
                  </w:r>
                  <w:r w:rsidR="00E6568B" w:rsidRPr="00E6568B">
                    <w:rPr>
                      <w:rFonts w:ascii="Verdana" w:hAnsi="Verdana" w:cs="Arial"/>
                      <w:bCs/>
                      <w:color w:val="000000" w:themeColor="text1"/>
                      <w:sz w:val="16"/>
                      <w:szCs w:val="21"/>
                    </w:rPr>
                    <w:t>Jefe Oficina Asesora de Planeación Sectorial</w:t>
                  </w:r>
                </w:p>
              </w:tc>
              <w:tc>
                <w:tcPr>
                  <w:tcW w:w="3995" w:type="dxa"/>
                </w:tcPr>
                <w:p w14:paraId="3C29FD06" w14:textId="77777777" w:rsidR="00E6568B" w:rsidRPr="00E6568B" w:rsidRDefault="00E6568B" w:rsidP="00E6568B">
                  <w:pPr>
                    <w:jc w:val="both"/>
                    <w:rPr>
                      <w:rFonts w:ascii="Verdana" w:hAnsi="Verdana" w:cs="Arial"/>
                      <w:bCs/>
                      <w:color w:val="000000" w:themeColor="text1"/>
                      <w:sz w:val="16"/>
                      <w:szCs w:val="21"/>
                    </w:rPr>
                  </w:pPr>
                  <w:r w:rsidRPr="00E6568B">
                    <w:rPr>
                      <w:rFonts w:ascii="Verdana" w:hAnsi="Verdana" w:cs="Arial"/>
                      <w:bCs/>
                      <w:color w:val="000000" w:themeColor="text1"/>
                      <w:sz w:val="16"/>
                      <w:szCs w:val="21"/>
                    </w:rPr>
                    <w:t>MARIA LEONISA ORTIZ BOLIVAR</w:t>
                  </w:r>
                </w:p>
                <w:p w14:paraId="31DC9AB5" w14:textId="77777777" w:rsidR="00E6568B" w:rsidRPr="00E6568B" w:rsidRDefault="00E6568B" w:rsidP="00E6568B">
                  <w:pPr>
                    <w:jc w:val="both"/>
                    <w:rPr>
                      <w:rFonts w:ascii="Verdana" w:hAnsi="Verdana" w:cs="Arial"/>
                      <w:bCs/>
                      <w:color w:val="000000" w:themeColor="text1"/>
                      <w:sz w:val="16"/>
                      <w:szCs w:val="21"/>
                    </w:rPr>
                  </w:pPr>
                  <w:r w:rsidRPr="00E6568B">
                    <w:rPr>
                      <w:rFonts w:ascii="Verdana" w:hAnsi="Verdana" w:cs="Arial"/>
                      <w:bCs/>
                      <w:color w:val="000000" w:themeColor="text1"/>
                      <w:sz w:val="16"/>
                      <w:szCs w:val="21"/>
                    </w:rPr>
                    <w:t>Cargo: Director de Regulación</w:t>
                  </w:r>
                </w:p>
                <w:p w14:paraId="55CFBEB9" w14:textId="3E22126F" w:rsidR="00566E53" w:rsidRPr="00E6568B" w:rsidRDefault="00566E53" w:rsidP="00566E53">
                  <w:pPr>
                    <w:jc w:val="both"/>
                    <w:rPr>
                      <w:rFonts w:ascii="Verdana" w:hAnsi="Verdana" w:cs="Arial"/>
                      <w:bCs/>
                      <w:color w:val="000000" w:themeColor="text1"/>
                      <w:sz w:val="16"/>
                      <w:szCs w:val="21"/>
                    </w:rPr>
                  </w:pPr>
                </w:p>
              </w:tc>
            </w:tr>
          </w:tbl>
          <w:p w14:paraId="03029060" w14:textId="77777777" w:rsidR="00566E53" w:rsidRDefault="00566E53" w:rsidP="00566E53">
            <w:pPr>
              <w:spacing w:after="0" w:line="240" w:lineRule="auto"/>
              <w:jc w:val="both"/>
              <w:rPr>
                <w:rFonts w:ascii="Verdana" w:hAnsi="Verdana" w:cs="Arial"/>
                <w:bCs/>
                <w:color w:val="000000"/>
                <w:sz w:val="16"/>
                <w:szCs w:val="21"/>
              </w:rPr>
            </w:pPr>
          </w:p>
          <w:p w14:paraId="4CF8C849" w14:textId="264B1481" w:rsidR="00566E53" w:rsidRPr="00666AB9" w:rsidRDefault="00566E53" w:rsidP="003033FD">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2C0C" w14:textId="77777777" w:rsidR="00D10667" w:rsidRDefault="00D10667" w:rsidP="00FF09A0">
      <w:pPr>
        <w:spacing w:after="0" w:line="240" w:lineRule="auto"/>
      </w:pPr>
      <w:r>
        <w:separator/>
      </w:r>
    </w:p>
  </w:endnote>
  <w:endnote w:type="continuationSeparator" w:id="0">
    <w:p w14:paraId="3F49B088" w14:textId="77777777" w:rsidR="00D10667" w:rsidRDefault="00D10667"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6503" w14:textId="77777777" w:rsidR="00D10667" w:rsidRDefault="00D10667" w:rsidP="00FF09A0">
      <w:pPr>
        <w:spacing w:after="0" w:line="240" w:lineRule="auto"/>
      </w:pPr>
      <w:r>
        <w:separator/>
      </w:r>
    </w:p>
  </w:footnote>
  <w:footnote w:type="continuationSeparator" w:id="0">
    <w:p w14:paraId="0C204CEC" w14:textId="77777777" w:rsidR="00D10667" w:rsidRDefault="00D10667"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57B8D57"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965680" w:rsidRPr="00965680">
            <w:rPr>
              <w:rFonts w:ascii="Verdana" w:eastAsia="Arial" w:hAnsi="Verdana" w:cs="Arial"/>
              <w:b/>
              <w:color w:val="000000" w:themeColor="text1"/>
              <w:sz w:val="18"/>
              <w:szCs w:val="18"/>
            </w:rPr>
            <w:t>Fomento al desarrollo económico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659500F8" w:rsidR="4F8B75BB" w:rsidRPr="00666AB9" w:rsidRDefault="00FD0F4C"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COMISIÓN INTERSECTORIAL DE LA CALIDAD.</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287A5B34" w:rsidR="618C038B" w:rsidRPr="00666AB9" w:rsidRDefault="000C2CE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517597">
            <w:rPr>
              <w:rFonts w:ascii="Verdana" w:eastAsia="Arial" w:hAnsi="Verdana" w:cs="Arial"/>
              <w:color w:val="000000" w:themeColor="text1"/>
              <w:sz w:val="16"/>
              <w:szCs w:val="16"/>
            </w:rPr>
            <w:t>002</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37882E06" w:rsidR="618C038B" w:rsidRPr="00666AB9" w:rsidRDefault="00517597"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00266039">
    <w:abstractNumId w:val="13"/>
  </w:num>
  <w:num w:numId="2" w16cid:durableId="852570767">
    <w:abstractNumId w:val="4"/>
  </w:num>
  <w:num w:numId="3" w16cid:durableId="1451588070">
    <w:abstractNumId w:val="1"/>
  </w:num>
  <w:num w:numId="4" w16cid:durableId="1918401098">
    <w:abstractNumId w:val="8"/>
  </w:num>
  <w:num w:numId="5" w16cid:durableId="1707871831">
    <w:abstractNumId w:val="12"/>
  </w:num>
  <w:num w:numId="6" w16cid:durableId="68235316">
    <w:abstractNumId w:val="2"/>
  </w:num>
  <w:num w:numId="7" w16cid:durableId="718555451">
    <w:abstractNumId w:val="0"/>
  </w:num>
  <w:num w:numId="8" w16cid:durableId="1569416016">
    <w:abstractNumId w:val="3"/>
  </w:num>
  <w:num w:numId="9" w16cid:durableId="1518470682">
    <w:abstractNumId w:val="9"/>
  </w:num>
  <w:num w:numId="10" w16cid:durableId="1515221340">
    <w:abstractNumId w:val="5"/>
  </w:num>
  <w:num w:numId="11" w16cid:durableId="1376082060">
    <w:abstractNumId w:val="10"/>
  </w:num>
  <w:num w:numId="12" w16cid:durableId="1312715847">
    <w:abstractNumId w:val="7"/>
  </w:num>
  <w:num w:numId="13" w16cid:durableId="162748176">
    <w:abstractNumId w:val="6"/>
  </w:num>
  <w:num w:numId="14" w16cid:durableId="11721822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84489"/>
    <w:rsid w:val="000A2345"/>
    <w:rsid w:val="000A6C04"/>
    <w:rsid w:val="000B4925"/>
    <w:rsid w:val="000B497A"/>
    <w:rsid w:val="000C2CEB"/>
    <w:rsid w:val="000E5FFE"/>
    <w:rsid w:val="000F04B7"/>
    <w:rsid w:val="000F1080"/>
    <w:rsid w:val="00111E13"/>
    <w:rsid w:val="00136A11"/>
    <w:rsid w:val="00145F13"/>
    <w:rsid w:val="00161FC9"/>
    <w:rsid w:val="001C5FBA"/>
    <w:rsid w:val="001C6CBA"/>
    <w:rsid w:val="001D0B5F"/>
    <w:rsid w:val="001D7444"/>
    <w:rsid w:val="001E7211"/>
    <w:rsid w:val="0020121F"/>
    <w:rsid w:val="00223AA5"/>
    <w:rsid w:val="00237C40"/>
    <w:rsid w:val="0024300F"/>
    <w:rsid w:val="0024690F"/>
    <w:rsid w:val="002609A3"/>
    <w:rsid w:val="0026414F"/>
    <w:rsid w:val="00274A63"/>
    <w:rsid w:val="0029132E"/>
    <w:rsid w:val="00291CA0"/>
    <w:rsid w:val="002931C7"/>
    <w:rsid w:val="00293CEB"/>
    <w:rsid w:val="00295947"/>
    <w:rsid w:val="002A0289"/>
    <w:rsid w:val="002A45E3"/>
    <w:rsid w:val="002B4273"/>
    <w:rsid w:val="002C2E93"/>
    <w:rsid w:val="002C3BD4"/>
    <w:rsid w:val="002E6474"/>
    <w:rsid w:val="002F0F53"/>
    <w:rsid w:val="002F176B"/>
    <w:rsid w:val="002F5FEB"/>
    <w:rsid w:val="00300460"/>
    <w:rsid w:val="00301C99"/>
    <w:rsid w:val="003033FD"/>
    <w:rsid w:val="00313C84"/>
    <w:rsid w:val="003545C9"/>
    <w:rsid w:val="003644BD"/>
    <w:rsid w:val="003823B7"/>
    <w:rsid w:val="003B7177"/>
    <w:rsid w:val="003C75B4"/>
    <w:rsid w:val="00400C58"/>
    <w:rsid w:val="00403988"/>
    <w:rsid w:val="0040542A"/>
    <w:rsid w:val="00416D2C"/>
    <w:rsid w:val="004260B3"/>
    <w:rsid w:val="00454302"/>
    <w:rsid w:val="004A258A"/>
    <w:rsid w:val="004A3BE9"/>
    <w:rsid w:val="004B7F25"/>
    <w:rsid w:val="004E73E5"/>
    <w:rsid w:val="004F145A"/>
    <w:rsid w:val="004F2A29"/>
    <w:rsid w:val="004F799A"/>
    <w:rsid w:val="005034CA"/>
    <w:rsid w:val="00511297"/>
    <w:rsid w:val="00517597"/>
    <w:rsid w:val="00523A88"/>
    <w:rsid w:val="00527566"/>
    <w:rsid w:val="00535FDD"/>
    <w:rsid w:val="005501B7"/>
    <w:rsid w:val="00566E53"/>
    <w:rsid w:val="00570D5D"/>
    <w:rsid w:val="00573D13"/>
    <w:rsid w:val="005832CD"/>
    <w:rsid w:val="00584585"/>
    <w:rsid w:val="00585793"/>
    <w:rsid w:val="00591941"/>
    <w:rsid w:val="005A0CE9"/>
    <w:rsid w:val="005A3044"/>
    <w:rsid w:val="005A6B66"/>
    <w:rsid w:val="005A7D0E"/>
    <w:rsid w:val="005B5CEB"/>
    <w:rsid w:val="005B6577"/>
    <w:rsid w:val="005D2594"/>
    <w:rsid w:val="005D4462"/>
    <w:rsid w:val="005E25C7"/>
    <w:rsid w:val="005F3247"/>
    <w:rsid w:val="00601069"/>
    <w:rsid w:val="00607318"/>
    <w:rsid w:val="006165B0"/>
    <w:rsid w:val="006169FD"/>
    <w:rsid w:val="006279DE"/>
    <w:rsid w:val="006456A3"/>
    <w:rsid w:val="0066027D"/>
    <w:rsid w:val="00666AB9"/>
    <w:rsid w:val="00684262"/>
    <w:rsid w:val="0069702B"/>
    <w:rsid w:val="006B12B9"/>
    <w:rsid w:val="006B1F16"/>
    <w:rsid w:val="006C52F0"/>
    <w:rsid w:val="006D1AB7"/>
    <w:rsid w:val="006E1279"/>
    <w:rsid w:val="006F0A35"/>
    <w:rsid w:val="006F3D2D"/>
    <w:rsid w:val="007124C9"/>
    <w:rsid w:val="00713034"/>
    <w:rsid w:val="0072655E"/>
    <w:rsid w:val="007341F5"/>
    <w:rsid w:val="00747263"/>
    <w:rsid w:val="007558EC"/>
    <w:rsid w:val="00757FF1"/>
    <w:rsid w:val="007670FA"/>
    <w:rsid w:val="007758F6"/>
    <w:rsid w:val="00792E1F"/>
    <w:rsid w:val="0079534A"/>
    <w:rsid w:val="0079608A"/>
    <w:rsid w:val="007B4E62"/>
    <w:rsid w:val="007C3D27"/>
    <w:rsid w:val="007C4B85"/>
    <w:rsid w:val="007D3138"/>
    <w:rsid w:val="007D51BE"/>
    <w:rsid w:val="007F76CE"/>
    <w:rsid w:val="008034D9"/>
    <w:rsid w:val="00804F85"/>
    <w:rsid w:val="00823BA1"/>
    <w:rsid w:val="00851992"/>
    <w:rsid w:val="00853A22"/>
    <w:rsid w:val="0087001D"/>
    <w:rsid w:val="00874AE0"/>
    <w:rsid w:val="00882C53"/>
    <w:rsid w:val="00886EC1"/>
    <w:rsid w:val="00895E24"/>
    <w:rsid w:val="008974F0"/>
    <w:rsid w:val="008B0C34"/>
    <w:rsid w:val="008D6D1B"/>
    <w:rsid w:val="008F0A6E"/>
    <w:rsid w:val="00900199"/>
    <w:rsid w:val="0091085B"/>
    <w:rsid w:val="00925745"/>
    <w:rsid w:val="0093090C"/>
    <w:rsid w:val="00936855"/>
    <w:rsid w:val="00940BA8"/>
    <w:rsid w:val="00944BE9"/>
    <w:rsid w:val="00954D11"/>
    <w:rsid w:val="009640DD"/>
    <w:rsid w:val="00965680"/>
    <w:rsid w:val="00970821"/>
    <w:rsid w:val="00970E8B"/>
    <w:rsid w:val="00971C19"/>
    <w:rsid w:val="009A0A14"/>
    <w:rsid w:val="009A384B"/>
    <w:rsid w:val="009B622A"/>
    <w:rsid w:val="009B718F"/>
    <w:rsid w:val="009C14ED"/>
    <w:rsid w:val="009C21BB"/>
    <w:rsid w:val="009C583C"/>
    <w:rsid w:val="009D07CF"/>
    <w:rsid w:val="009D19DD"/>
    <w:rsid w:val="009D2340"/>
    <w:rsid w:val="009E4885"/>
    <w:rsid w:val="009E5DB2"/>
    <w:rsid w:val="009F44E8"/>
    <w:rsid w:val="00A02DE1"/>
    <w:rsid w:val="00A113D7"/>
    <w:rsid w:val="00A115BC"/>
    <w:rsid w:val="00A202A6"/>
    <w:rsid w:val="00A21855"/>
    <w:rsid w:val="00A22F3F"/>
    <w:rsid w:val="00A300DE"/>
    <w:rsid w:val="00A32148"/>
    <w:rsid w:val="00A35B13"/>
    <w:rsid w:val="00A570F6"/>
    <w:rsid w:val="00A669EA"/>
    <w:rsid w:val="00A70643"/>
    <w:rsid w:val="00A75D0E"/>
    <w:rsid w:val="00A76CDB"/>
    <w:rsid w:val="00A770ED"/>
    <w:rsid w:val="00A808A4"/>
    <w:rsid w:val="00A85151"/>
    <w:rsid w:val="00AD5DB2"/>
    <w:rsid w:val="00AD62FA"/>
    <w:rsid w:val="00AD6B3B"/>
    <w:rsid w:val="00AD7470"/>
    <w:rsid w:val="00AF2851"/>
    <w:rsid w:val="00AF3BAE"/>
    <w:rsid w:val="00B07EC5"/>
    <w:rsid w:val="00B10731"/>
    <w:rsid w:val="00B12631"/>
    <w:rsid w:val="00B2097D"/>
    <w:rsid w:val="00B37A7C"/>
    <w:rsid w:val="00B679FA"/>
    <w:rsid w:val="00B838E7"/>
    <w:rsid w:val="00BA58FB"/>
    <w:rsid w:val="00BB1B01"/>
    <w:rsid w:val="00BB4EAC"/>
    <w:rsid w:val="00BB63A6"/>
    <w:rsid w:val="00BD47DB"/>
    <w:rsid w:val="00C1728E"/>
    <w:rsid w:val="00C21389"/>
    <w:rsid w:val="00C254AF"/>
    <w:rsid w:val="00C33928"/>
    <w:rsid w:val="00C458C4"/>
    <w:rsid w:val="00C46177"/>
    <w:rsid w:val="00C63B16"/>
    <w:rsid w:val="00C71896"/>
    <w:rsid w:val="00C71CC6"/>
    <w:rsid w:val="00C729AD"/>
    <w:rsid w:val="00C77DA4"/>
    <w:rsid w:val="00C8072D"/>
    <w:rsid w:val="00C823B2"/>
    <w:rsid w:val="00CA776F"/>
    <w:rsid w:val="00CC6239"/>
    <w:rsid w:val="00CD3C2F"/>
    <w:rsid w:val="00CE0005"/>
    <w:rsid w:val="00CE1614"/>
    <w:rsid w:val="00D102FF"/>
    <w:rsid w:val="00D10667"/>
    <w:rsid w:val="00D14EE3"/>
    <w:rsid w:val="00D27F6A"/>
    <w:rsid w:val="00D30510"/>
    <w:rsid w:val="00D4353B"/>
    <w:rsid w:val="00D8671B"/>
    <w:rsid w:val="00DA19DE"/>
    <w:rsid w:val="00DC606B"/>
    <w:rsid w:val="00DF3757"/>
    <w:rsid w:val="00E031E5"/>
    <w:rsid w:val="00E143A7"/>
    <w:rsid w:val="00E22031"/>
    <w:rsid w:val="00E22DCA"/>
    <w:rsid w:val="00E30AA0"/>
    <w:rsid w:val="00E32749"/>
    <w:rsid w:val="00E503BD"/>
    <w:rsid w:val="00E6568B"/>
    <w:rsid w:val="00E66F15"/>
    <w:rsid w:val="00E70323"/>
    <w:rsid w:val="00E75BA3"/>
    <w:rsid w:val="00E873AD"/>
    <w:rsid w:val="00E87A9C"/>
    <w:rsid w:val="00E91094"/>
    <w:rsid w:val="00E93440"/>
    <w:rsid w:val="00EA0279"/>
    <w:rsid w:val="00EA0826"/>
    <w:rsid w:val="00EB3B4C"/>
    <w:rsid w:val="00EF4DED"/>
    <w:rsid w:val="00F05E25"/>
    <w:rsid w:val="00F06927"/>
    <w:rsid w:val="00F141C1"/>
    <w:rsid w:val="00F1461B"/>
    <w:rsid w:val="00F5171E"/>
    <w:rsid w:val="00F51B42"/>
    <w:rsid w:val="00F62291"/>
    <w:rsid w:val="00F74146"/>
    <w:rsid w:val="00F91859"/>
    <w:rsid w:val="00FB4F47"/>
    <w:rsid w:val="00FD0F4C"/>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075082211">
      <w:bodyDiv w:val="1"/>
      <w:marLeft w:val="0"/>
      <w:marRight w:val="0"/>
      <w:marTop w:val="0"/>
      <w:marBottom w:val="0"/>
      <w:divBdr>
        <w:top w:val="none" w:sz="0" w:space="0" w:color="auto"/>
        <w:left w:val="none" w:sz="0" w:space="0" w:color="auto"/>
        <w:bottom w:val="none" w:sz="0" w:space="0" w:color="auto"/>
        <w:right w:val="none" w:sz="0" w:space="0" w:color="auto"/>
      </w:divBdr>
      <w:divsChild>
        <w:div w:id="1953512255">
          <w:marLeft w:val="0"/>
          <w:marRight w:val="0"/>
          <w:marTop w:val="0"/>
          <w:marBottom w:val="0"/>
          <w:divBdr>
            <w:top w:val="none" w:sz="0" w:space="0" w:color="auto"/>
            <w:left w:val="none" w:sz="0" w:space="0" w:color="auto"/>
            <w:bottom w:val="none" w:sz="0" w:space="0" w:color="auto"/>
            <w:right w:val="none" w:sz="0" w:space="0" w:color="auto"/>
          </w:divBdr>
        </w:div>
      </w:divsChild>
    </w:div>
    <w:div w:id="1105076586">
      <w:bodyDiv w:val="1"/>
      <w:marLeft w:val="0"/>
      <w:marRight w:val="0"/>
      <w:marTop w:val="0"/>
      <w:marBottom w:val="0"/>
      <w:divBdr>
        <w:top w:val="none" w:sz="0" w:space="0" w:color="auto"/>
        <w:left w:val="none" w:sz="0" w:space="0" w:color="auto"/>
        <w:bottom w:val="none" w:sz="0" w:space="0" w:color="auto"/>
        <w:right w:val="none" w:sz="0" w:space="0" w:color="auto"/>
      </w:divBdr>
      <w:divsChild>
        <w:div w:id="203061144">
          <w:marLeft w:val="0"/>
          <w:marRight w:val="0"/>
          <w:marTop w:val="0"/>
          <w:marBottom w:val="0"/>
          <w:divBdr>
            <w:top w:val="none" w:sz="0" w:space="0" w:color="auto"/>
            <w:left w:val="none" w:sz="0" w:space="0" w:color="auto"/>
            <w:bottom w:val="none" w:sz="0" w:space="0" w:color="auto"/>
            <w:right w:val="none" w:sz="0" w:space="0" w:color="auto"/>
          </w:divBdr>
        </w:div>
      </w:divsChild>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442146029">
      <w:bodyDiv w:val="1"/>
      <w:marLeft w:val="0"/>
      <w:marRight w:val="0"/>
      <w:marTop w:val="0"/>
      <w:marBottom w:val="0"/>
      <w:divBdr>
        <w:top w:val="none" w:sz="0" w:space="0" w:color="auto"/>
        <w:left w:val="none" w:sz="0" w:space="0" w:color="auto"/>
        <w:bottom w:val="none" w:sz="0" w:space="0" w:color="auto"/>
        <w:right w:val="none" w:sz="0" w:space="0" w:color="auto"/>
      </w:divBdr>
      <w:divsChild>
        <w:div w:id="1782529434">
          <w:marLeft w:val="0"/>
          <w:marRight w:val="0"/>
          <w:marTop w:val="0"/>
          <w:marBottom w:val="0"/>
          <w:divBdr>
            <w:top w:val="none" w:sz="0" w:space="0" w:color="auto"/>
            <w:left w:val="none" w:sz="0" w:space="0" w:color="auto"/>
            <w:bottom w:val="none" w:sz="0" w:space="0" w:color="auto"/>
            <w:right w:val="none" w:sz="0" w:space="0" w:color="auto"/>
          </w:divBdr>
        </w:div>
      </w:divsChild>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FB8F36-B716-47A1-A416-D03DE2D5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1373</Words>
  <Characters>7557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19</cp:revision>
  <dcterms:created xsi:type="dcterms:W3CDTF">2025-09-12T18:37:00Z</dcterms:created>
  <dcterms:modified xsi:type="dcterms:W3CDTF">2026-05-23T17:36:00Z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